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DPWM86GK797A0TBGRZR8ZL0C7NM0OAGREO06FJEIXGH8TFWTZMBRRCJ6FSTTPB8RXJM69OLJZH078IJJQXFAQF8D8RF0WHWBANOOMHB3073375A22A45AC8B4AA32AD6381D0EE1" Type="http://schemas.microsoft.com/office/2006/relationships/officeDocumentMain" Target="NUL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864" w:rsidRDefault="006B59FA">
      <w:pPr>
        <w:spacing w:line="0" w:lineRule="atLeast"/>
        <w:jc w:val="center"/>
        <w:rPr>
          <w:rFonts w:ascii="方正黑体_GBK" w:eastAsia="方正黑体_GBK" w:hAnsi="方正黑体_GBK" w:cs="方正黑体_GBK"/>
          <w:b/>
          <w:bCs/>
          <w:kern w:val="0"/>
          <w:sz w:val="24"/>
          <w:szCs w:val="24"/>
        </w:rPr>
      </w:pPr>
      <w:bookmarkStart w:id="0" w:name="_GoBack"/>
      <w:bookmarkEnd w:id="0"/>
      <w:r>
        <w:rPr>
          <w:rFonts w:ascii="方正黑体_GBK" w:eastAsia="方正黑体_GBK" w:hAnsi="方正黑体_GBK" w:cs="方正黑体_GBK" w:hint="eastAsia"/>
          <w:b/>
          <w:bCs/>
          <w:kern w:val="0"/>
          <w:sz w:val="24"/>
          <w:szCs w:val="24"/>
        </w:rPr>
        <w:t>理财产品风险揭示书</w:t>
      </w:r>
    </w:p>
    <w:p w:rsidR="00410864" w:rsidRDefault="006B59FA">
      <w:pPr>
        <w:spacing w:line="0" w:lineRule="atLeast"/>
        <w:jc w:val="center"/>
        <w:rPr>
          <w:rFonts w:ascii="方正黑体_GBK" w:eastAsia="方正黑体_GBK" w:hAnsi="方正黑体_GBK" w:cs="方正黑体_GBK"/>
          <w:color w:val="3D3D3D"/>
          <w:kern w:val="0"/>
        </w:rPr>
      </w:pPr>
      <w:r>
        <w:rPr>
          <w:rFonts w:ascii="方正黑体_GBK" w:eastAsia="方正黑体_GBK" w:hAnsi="方正黑体_GBK" w:cs="方正黑体_GBK" w:hint="eastAsia"/>
          <w:b/>
          <w:bCs/>
          <w:i/>
          <w:iCs/>
          <w:kern w:val="0"/>
          <w:sz w:val="24"/>
          <w:szCs w:val="24"/>
          <w:u w:val="single"/>
        </w:rPr>
        <w:t>“理财非存款、产品有风险、投资须谨慎”！</w:t>
      </w:r>
    </w:p>
    <w:p w:rsidR="00410864" w:rsidRDefault="006B59FA">
      <w:pPr>
        <w:widowControl/>
        <w:spacing w:line="200" w:lineRule="exact"/>
        <w:ind w:firstLineChars="200" w:firstLine="260"/>
        <w:rPr>
          <w:rFonts w:ascii="方正黑体_GBK" w:eastAsia="方正黑体_GBK" w:hAnsi="方正黑体_GBK" w:cs="方正黑体_GBK"/>
          <w:b/>
          <w:color w:val="3D3D3D"/>
          <w:kern w:val="0"/>
          <w:sz w:val="13"/>
          <w:szCs w:val="13"/>
        </w:rPr>
      </w:pPr>
      <w:r>
        <w:rPr>
          <w:rFonts w:ascii="方正黑体_GBK" w:eastAsia="方正黑体_GBK" w:hAnsi="方正黑体_GBK" w:cs="方正黑体_GBK" w:hint="eastAsia"/>
          <w:b/>
          <w:color w:val="3D3D3D"/>
          <w:kern w:val="0"/>
          <w:sz w:val="13"/>
          <w:szCs w:val="13"/>
        </w:rPr>
        <w:t>本理财产品是</w:t>
      </w:r>
      <w:r>
        <w:rPr>
          <w:rFonts w:ascii="方正黑体_GBK" w:eastAsia="方正黑体_GBK" w:hAnsi="方正黑体_GBK" w:cs="方正黑体_GBK" w:hint="eastAsia"/>
          <w:b/>
          <w:i/>
          <w:iCs/>
          <w:color w:val="3D3D3D"/>
          <w:kern w:val="0"/>
          <w:sz w:val="20"/>
          <w:szCs w:val="20"/>
          <w:u w:val="single"/>
        </w:rPr>
        <w:t>开放式、固定收益类、公募、净值型</w:t>
      </w:r>
      <w:r>
        <w:rPr>
          <w:rFonts w:ascii="方正黑体_GBK" w:eastAsia="方正黑体_GBK" w:hAnsi="方正黑体_GBK" w:cs="方正黑体_GBK" w:hint="eastAsia"/>
          <w:b/>
          <w:color w:val="3D3D3D"/>
          <w:kern w:val="0"/>
          <w:sz w:val="13"/>
          <w:szCs w:val="13"/>
        </w:rPr>
        <w:t>理财产品，</w:t>
      </w:r>
      <w:r>
        <w:rPr>
          <w:rFonts w:ascii="方正黑体_GBK" w:eastAsia="方正黑体_GBK" w:hAnsi="方正黑体_GBK" w:cs="方正黑体_GBK" w:hint="eastAsia"/>
          <w:b/>
          <w:i/>
          <w:iCs/>
          <w:color w:val="3D3D3D"/>
          <w:kern w:val="0"/>
          <w:sz w:val="20"/>
          <w:szCs w:val="20"/>
          <w:u w:val="single"/>
        </w:rPr>
        <w:t>不保证本金和收益</w:t>
      </w:r>
      <w:r>
        <w:rPr>
          <w:rFonts w:ascii="方正黑体_GBK" w:eastAsia="方正黑体_GBK" w:hAnsi="方正黑体_GBK" w:cs="方正黑体_GBK" w:hint="eastAsia"/>
          <w:b/>
          <w:color w:val="3D3D3D"/>
          <w:kern w:val="0"/>
          <w:sz w:val="13"/>
          <w:szCs w:val="13"/>
        </w:rPr>
        <w:t>，您（以下或称为“投资者”）的本金与收益可能会蒙受全部或部分损失，在您选择购买本理财产品前，您应仔细阅读对应期次的《理财产品风险揭示书》《理财产品说明书》《投资者权益须知》《理财产品销售协议书》和《理财产品投资协议书》（以下合称“理财产品销售文件”），了解本理财产品信息及详细条款。</w:t>
      </w:r>
    </w:p>
    <w:p w:rsidR="00410864" w:rsidRDefault="006B59FA">
      <w:pPr>
        <w:widowControl/>
        <w:spacing w:line="200" w:lineRule="exact"/>
        <w:ind w:firstLineChars="200" w:firstLine="260"/>
        <w:rPr>
          <w:rFonts w:ascii="方正黑体_GBK" w:eastAsia="方正黑体_GBK" w:hAnsi="方正黑体_GBK" w:cs="方正黑体_GBK"/>
          <w:b/>
          <w:color w:val="3D3D3D"/>
          <w:kern w:val="0"/>
          <w:sz w:val="13"/>
          <w:szCs w:val="13"/>
        </w:rPr>
      </w:pPr>
      <w:r>
        <w:rPr>
          <w:rFonts w:ascii="方正黑体_GBK" w:eastAsia="方正黑体_GBK" w:hAnsi="方正黑体_GBK" w:cs="方正黑体_GBK" w:hint="eastAsia"/>
          <w:b/>
          <w:color w:val="3D3D3D"/>
          <w:kern w:val="0"/>
          <w:sz w:val="13"/>
          <w:szCs w:val="13"/>
        </w:rPr>
        <w:t>重要提示：南银理财有限责任公司（以下简称为“南银理财”、“理财产品管理人”、“产品管理人”或“管理人”）作为本理财产品管理人将为投资者利益以诚实信用、勤勉尽职的原则管理和运用理财产品资金，但不保证理财产品本金和收益，您可能因市场变动或多种风险因素而损失全部本金且无法取得任何收益。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您应该充分认识本理财产品的投资风险，本着“充分了解风险，自主选择购买”的原则，谨慎决策，自主决定将合法所有的自有资金用于购买本理财产品。理财产品过往业绩不代表其未来表现，不等于理财产品实际收益，不构成管理人对理财产品业绩表现的保证，投资须谨慎！在购买本理财产品后，您应随时关注产品的信息披露情况，及时获取相关信息。</w:t>
      </w:r>
    </w:p>
    <w:p w:rsidR="00410864" w:rsidRDefault="006B59FA">
      <w:pPr>
        <w:widowControl/>
        <w:spacing w:line="200" w:lineRule="exact"/>
        <w:ind w:firstLineChars="200"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b/>
          <w:color w:val="3D3D3D"/>
          <w:kern w:val="0"/>
          <w:sz w:val="13"/>
          <w:szCs w:val="13"/>
        </w:rPr>
        <w:t>本风险揭示书列示的风险指理财产品项下可能涉及的风险，包括但不限于：</w:t>
      </w:r>
    </w:p>
    <w:p w:rsidR="00410864" w:rsidRDefault="006B59FA">
      <w:pPr>
        <w:widowControl/>
        <w:spacing w:line="200" w:lineRule="exact"/>
        <w:ind w:firstLineChars="200"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第一条 理财产品共性风险提示和管控措施</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一）政策风险：本理财产品是根据当前相关法律法规、监管规定和政策设计的。理财产品在实际运作过程中，如遇到国家宏观政策和相关法律法规、监管规定发生变化，影响理财产品的发行、管理、投资运作和清算分配等业务的正常进行，可能导致理财产品的收益降低或无法取得任何收益甚至本理财产品的本金遭受部分或全部损失，也可能导致本理财产品违反国家法律、法规或者其他合同的有关规定，进而导致本理财产品被宣告无效、撤销、解除或提前终止等。</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二）信用风险：本理财产品收益来源于理财产品项下投资对象的回报。本理财产品所投资的资产，可能因债务人违约或者其他原因在投资期限届满时不能足额变现，由此可能导致本理财产品的本金及收益遭受损失。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理财产品投资不同类型的资产可能面临的市场风险包括但不限于：1.理财产品投资债券等固定收益率资产将面临利率、汇率变化等市场风险以及债券价格波动风险；2.理财产品投资股票等权益类资产将面临股票价格波动风险和股票发行人的经营风险、管理风险等风险；3.理财产品投资商品及金融衍生品类产品可能面临衍生品公允价值变化风险等。</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在理财产品存续期内的非开放日（如有）投资者不得赎回，在开放日（如有）可能因发生理财产品说明书中约定的限制赎回情况，导致投资者在需要资金时无法随时变现，当市场上出现更高收益的产品时，将有可能导致投资者因此丧失其他投资机会。</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八）理财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或通过销售机构通知）理财产品不成立且不承担任何违约责任，投资者将面临再投资风险。</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九）延期分配风险：如因理财产品投资的资产市场流动性不足或受限导致未能正常买卖结算，或投资资产正常到期，投资资产相关发行人或融资主体未能及时偿付本息，所投资工具无法及时变现等原因造成不能按时支付理财产品本金和收益，则投资者面临理财产品期限延期、调整等风险。</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410864" w:rsidRDefault="006B59FA">
      <w:pPr>
        <w:widowControl/>
        <w:spacing w:line="200" w:lineRule="exact"/>
        <w:ind w:firstLine="26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者蒙受损失的风险。</w:t>
      </w:r>
    </w:p>
    <w:p w:rsidR="00410864" w:rsidRDefault="006B59FA">
      <w:pPr>
        <w:widowControl/>
        <w:spacing w:line="200" w:lineRule="exact"/>
        <w:ind w:firstLine="26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bCs/>
          <w:color w:val="3D3D3D"/>
          <w:kern w:val="0"/>
          <w:sz w:val="13"/>
          <w:szCs w:val="13"/>
        </w:rPr>
        <w:t>南银理财按照对应期次《理财产品说明书》有关条款的约定，发布当期理财产品的运作、到期清算或提前终止等信息公告或报告。投资者应根据《理财产品说明书》中约定的信息披露渠道及时查询相关信息，以获知有关本理财产品相关信息，如果投资者未及时查询，或由于通信故障、系统故障以及其他不可抗力等因素的影响使得投资者无法及时了解产品信息，投资者承担因此而产生的责任和风险。</w:t>
      </w:r>
    </w:p>
    <w:p w:rsidR="00410864" w:rsidRDefault="006B59FA">
      <w:pPr>
        <w:widowControl/>
        <w:spacing w:line="200" w:lineRule="exact"/>
        <w:ind w:firstLine="26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十二）不可抗力及意外事件风险：理财产品面临的不可抗力及意外事件风险是指《理财产品说明书》规定的不可抗力或南银理财、销售机构、托管机构系统故障、通讯故障、投资市场停止交易等意外事件的出现，严重影响金融市场的正常运行，从而对理财产品的成立、发行、投资运作、资金返还、信息披露、公告通知等造成影响，甚至影响理财产品的受理、投资、分配等事宜的正常进行，进而导致投资者蒙受本金和收益遭受损失的风险。因不可抗力及意外事件风险导致的任何损失，由投资者自行承担。</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十三）税收风险：南银理财暂不负责代扣代缴投资者购买本理财产品所得收益应缴纳的各项税款。若相关税收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（十五）操作风险：若管理人、销售机构、托管机构由于内部作业、人员管理及系统操作不当或失误，处理事务不当等，可能导致本理财产品的本金及收益遭受损失。</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十六）代销风险：本理财产品通过代销机构销售时，认购/申购时投资者购买理财产品的资金由代销机构从投资者账户扣收并划付管理人，赎回时理财本金和理财收益相应款项由管理人按理财产品销售文件约定划付至代销机构，并由代销机构向投资者支付。如果投资者在代销机构的资金账户余额不足，或代销机构未及时将投资者认购/申购资金划转至南银理财，将导致投资者无法完成认购/申购，因此造成的损失南银理财不承担责任。在赎回和产品终止清算时，南银理财将投资者应得资金划转至代销机构指定账户后，由代销机构将相应应得资金划转至投资者账户。若代销机构未及时进行划付，因此造成的损失南银理财不承担任何责任。如果代销机构用于划付理财产品项下资金的账户内资金被依法冻结或扣划、账户处于被挂失、冻结、注销或其他非正常状态等原因而导致交易失败的，由代销机构与投资者依法协商解决。</w:t>
      </w:r>
    </w:p>
    <w:p w:rsidR="00410864" w:rsidRDefault="006B59FA">
      <w:pPr>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kern w:val="0"/>
          <w:sz w:val="13"/>
          <w:szCs w:val="13"/>
        </w:rPr>
        <w:t>（十七）未知价风险：净值型产品采用“金额申购、份额赎回”原则，即产品认/申购以金额申请，赎回以份额申请，认/申购与赎回价格以“未知价原则”受理申请。“未知价原则”，即理财产品申购申请和赎回申请提交时，适用的产品单位净值都是未知的，单位净值固定的产品除外。</w:t>
      </w:r>
    </w:p>
    <w:p w:rsidR="00410864" w:rsidRDefault="006B59FA">
      <w:pPr>
        <w:widowControl/>
        <w:spacing w:line="200" w:lineRule="exact"/>
        <w:ind w:firstLine="260"/>
        <w:rPr>
          <w:rFonts w:ascii="方正黑体_GBK" w:eastAsia="方正黑体_GBK" w:hAnsi="方正黑体_GBK" w:cs="方正黑体_GBK"/>
        </w:rPr>
      </w:pPr>
      <w:r>
        <w:rPr>
          <w:rFonts w:ascii="方正黑体_GBK" w:eastAsia="方正黑体_GBK" w:hAnsi="方正黑体_GBK" w:cs="方正黑体_GBK" w:hint="eastAsia"/>
          <w:color w:val="3D3D3D"/>
          <w:kern w:val="0"/>
          <w:sz w:val="13"/>
          <w:szCs w:val="13"/>
        </w:rPr>
        <w:t>（十八）关联交易风险：在合法合规且履行应履行的内、外部程序后，理财产品可能投资于管理人或托管机构的主要股东、实际控制人、一致行动人、最终受益人，托管机构，同一股东或托管机构控股的机构，或者与管理人或托管机构有重大利害关系的机构发行或承销的证券，或者从事其他关联交易，本理财产品也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410864" w:rsidRDefault="006B59FA">
      <w:pPr>
        <w:pStyle w:val="Normald09cbf9a"/>
        <w:widowControl/>
        <w:spacing w:line="200" w:lineRule="exact"/>
        <w:ind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color w:val="3D3D3D"/>
          <w:sz w:val="13"/>
          <w:szCs w:val="13"/>
        </w:rPr>
        <w:t xml:space="preserve"> </w:t>
      </w:r>
      <w:r>
        <w:rPr>
          <w:rFonts w:ascii="方正黑体_GBK" w:eastAsia="方正黑体_GBK" w:hAnsi="方正黑体_GBK" w:cs="方正黑体_GBK" w:hint="eastAsia"/>
          <w:color w:val="3D3D3D"/>
          <w:kern w:val="0"/>
          <w:sz w:val="13"/>
          <w:szCs w:val="13"/>
        </w:rPr>
        <w:t>第二条 本理财产品特定风险揭示</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b/>
          <w:sz w:val="13"/>
        </w:rPr>
        <w:t xml:space="preserve">    1.债券类资产投资风险</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b/>
          <w:sz w:val="13"/>
        </w:rPr>
        <w:t xml:space="preserve">    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b/>
          <w:sz w:val="13"/>
        </w:rPr>
        <w:t xml:space="preserve">    2.资产管理产品投资风险</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b/>
          <w:sz w:val="13"/>
        </w:rPr>
        <w:t xml:space="preserve">    本理财产品通过资产管理产品间接投资时，可能因资产管理产品的相关受托人/资产管理人违反法律法规和/或合同约定、未尽受托人/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w:t>
      </w:r>
      <w:r>
        <w:rPr>
          <w:rFonts w:ascii="方正黑体_GBK" w:eastAsia="方正黑体_GBK" w:hAnsi="方正黑体_GBK" w:cs="方正黑体_GBK" w:hint="eastAsia"/>
          <w:b/>
          <w:sz w:val="13"/>
        </w:rPr>
        <w:lastRenderedPageBreak/>
        <w:t>的影响。因本理财产品的管理人无法对所投资的资产管理产品进行投资决策，或所投资资产管理产品的相关受托人/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410864" w:rsidRDefault="006B59FA">
      <w:pPr>
        <w:pStyle w:val="Normald09cbf9a"/>
        <w:widowControl/>
        <w:spacing w:line="200" w:lineRule="exact"/>
        <w:ind w:firstLine="26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bCs/>
          <w:color w:val="3D3D3D"/>
          <w:kern w:val="0"/>
          <w:sz w:val="13"/>
          <w:szCs w:val="13"/>
        </w:rPr>
        <w:t>本理财产品类型：开放式、固定收益类、公募、净值型。</w:t>
      </w:r>
    </w:p>
    <w:p w:rsidR="00410864" w:rsidRDefault="006B59FA">
      <w:pPr>
        <w:pStyle w:val="Normald09cbf9a"/>
        <w:widowControl/>
        <w:spacing w:line="200" w:lineRule="exact"/>
        <w:ind w:firstLine="27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color w:val="3D3D3D"/>
          <w:kern w:val="0"/>
          <w:sz w:val="13"/>
          <w:szCs w:val="13"/>
        </w:rPr>
        <w:t>本理财产品期限为</w:t>
      </w:r>
      <w:r>
        <w:rPr>
          <w:rFonts w:ascii="方正黑体_GBK" w:eastAsia="方正黑体_GBK" w:hAnsi="方正黑体_GBK" w:cs="方正黑体_GBK" w:hint="eastAsia"/>
          <w:b/>
          <w:bCs/>
          <w:color w:val="3D3D3D"/>
          <w:kern w:val="0"/>
          <w:sz w:val="13"/>
          <w:szCs w:val="13"/>
        </w:rPr>
        <w:t>10年</w:t>
      </w:r>
      <w:r>
        <w:rPr>
          <w:rFonts w:ascii="方正黑体_GBK" w:eastAsia="方正黑体_GBK" w:hAnsi="方正黑体_GBK" w:cs="方正黑体_GBK" w:hint="eastAsia"/>
          <w:b/>
          <w:color w:val="3D3D3D"/>
          <w:kern w:val="0"/>
          <w:sz w:val="13"/>
          <w:szCs w:val="13"/>
        </w:rPr>
        <w:t>（若本理财产品被提前终止或延期终止，以实际到期日计算持有天数）。</w:t>
      </w:r>
    </w:p>
    <w:p w:rsidR="00410864" w:rsidRDefault="006B59FA">
      <w:pPr>
        <w:pStyle w:val="annotationtext23"/>
        <w:spacing w:line="200" w:lineRule="exact"/>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b/>
          <w:bCs/>
          <w:color w:val="3D3D3D"/>
          <w:kern w:val="0"/>
          <w:sz w:val="13"/>
          <w:szCs w:val="13"/>
        </w:rPr>
        <w:t>本理财产品风险评级结果：</w:t>
      </w:r>
      <w:r>
        <w:rPr>
          <w:rFonts w:ascii="方正黑体_GBK" w:eastAsia="方正黑体_GBK" w:hAnsi="方正黑体_GBK" w:cs="方正黑体_GBK" w:hint="eastAsia"/>
          <w:color w:val="3D3D3D"/>
          <w:kern w:val="0"/>
          <w:sz w:val="13"/>
          <w:szCs w:val="13"/>
        </w:rPr>
        <w:t>根据管理人内部风险评级，该产品风险等级为</w:t>
      </w:r>
      <w:r>
        <w:rPr>
          <w:rFonts w:ascii="方正黑体_GBK" w:eastAsia="方正黑体_GBK" w:hAnsi="方正黑体_GBK" w:cs="方正黑体_GBK" w:hint="eastAsia"/>
          <w:b/>
          <w:color w:val="3D3D3D"/>
          <w:kern w:val="0"/>
          <w:sz w:val="13"/>
          <w:szCs w:val="13"/>
        </w:rPr>
        <w:t>中低风险</w:t>
      </w:r>
      <w:r>
        <w:rPr>
          <w:rFonts w:ascii="方正黑体_GBK" w:eastAsia="方正黑体_GBK" w:hAnsi="方正黑体_GBK" w:cs="方正黑体_GBK" w:hint="eastAsia"/>
          <w:color w:val="3D3D3D"/>
          <w:kern w:val="0"/>
          <w:sz w:val="13"/>
          <w:szCs w:val="13"/>
        </w:rPr>
        <w:t>。</w:t>
      </w:r>
      <w:r>
        <w:rPr>
          <w:rFonts w:ascii="方正黑体_GBK" w:eastAsia="方正黑体_GBK" w:hAnsi="方正黑体_GBK" w:cs="方正黑体_GBK" w:hint="eastAsia"/>
          <w:b/>
          <w:color w:val="3D3D3D"/>
          <w:kern w:val="0"/>
          <w:sz w:val="13"/>
          <w:szCs w:val="13"/>
        </w:rPr>
        <w:t xml:space="preserve"> </w:t>
      </w:r>
      <w:r>
        <w:rPr>
          <w:rFonts w:ascii="方正黑体_GBK" w:eastAsia="方正黑体_GBK" w:hAnsi="方正黑体_GBK" w:cs="方正黑体_GBK" w:hint="eastAsia"/>
          <w:color w:val="3D3D3D"/>
          <w:kern w:val="0"/>
          <w:sz w:val="13"/>
          <w:szCs w:val="13"/>
        </w:rPr>
        <w:t>管理人不承诺本金保障，产品收益随投资表现变动，产品存在较低的本金损失风险。</w:t>
      </w:r>
    </w:p>
    <w:p w:rsidR="00410864" w:rsidRDefault="006B59FA">
      <w:pPr>
        <w:pStyle w:val="annotationtext23"/>
        <w:spacing w:line="200" w:lineRule="exact"/>
        <w:ind w:firstLineChars="200" w:firstLine="260"/>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b/>
          <w:bCs/>
          <w:color w:val="3D3D3D"/>
          <w:kern w:val="0"/>
          <w:sz w:val="13"/>
          <w:szCs w:val="13"/>
        </w:rPr>
        <w:t>本风险等级为南银理财风险评级结果，该产品通过代理销售机构渠道销售的，理财产品评级应当以代理销售机构最终披露的评级结果为准。</w:t>
      </w:r>
      <w:r>
        <w:rPr>
          <w:rFonts w:ascii="方正黑体_GBK" w:eastAsia="方正黑体_GBK" w:hAnsi="方正黑体_GBK" w:cs="方正黑体_GBK" w:hint="eastAsia"/>
          <w:color w:val="3D3D3D"/>
          <w:kern w:val="0"/>
          <w:sz w:val="13"/>
          <w:szCs w:val="13"/>
        </w:rPr>
        <w:t>您需充分认识投资风险，谨慎投资。</w:t>
      </w:r>
    </w:p>
    <w:p w:rsidR="00410864" w:rsidRDefault="006B59FA">
      <w:pPr>
        <w:pStyle w:val="Normald09cbf9a"/>
        <w:widowControl/>
        <w:spacing w:line="200" w:lineRule="exact"/>
        <w:ind w:firstLineChars="200" w:firstLine="26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bCs/>
          <w:color w:val="3D3D3D"/>
          <w:kern w:val="0"/>
          <w:sz w:val="13"/>
          <w:szCs w:val="13"/>
        </w:rPr>
        <w:t>适合购买本理财产品的投资者：</w:t>
      </w:r>
      <w:r>
        <w:rPr>
          <w:rFonts w:ascii="方正黑体_GBK" w:eastAsia="方正黑体_GBK" w:hAnsi="方正黑体_GBK" w:cs="方正黑体_GBK" w:hint="eastAsia"/>
          <w:color w:val="3D3D3D"/>
          <w:kern w:val="0"/>
          <w:sz w:val="13"/>
          <w:szCs w:val="13"/>
        </w:rPr>
        <w:t>符合相关法律法规、监管规定要求的，经销售机构的风险承受能力评估体系评定为适合的个人和机构投资者</w:t>
      </w:r>
      <w:r>
        <w:rPr>
          <w:rFonts w:ascii="方正黑体_GBK" w:eastAsia="方正黑体_GBK" w:hAnsi="方正黑体_GBK" w:cs="方正黑体_GBK" w:hint="eastAsia"/>
          <w:b/>
          <w:bCs/>
          <w:color w:val="3D3D3D"/>
          <w:kern w:val="0"/>
          <w:sz w:val="13"/>
          <w:szCs w:val="13"/>
        </w:rPr>
        <w:t>。</w:t>
      </w:r>
    </w:p>
    <w:p w:rsidR="00410864" w:rsidRDefault="006B59FA">
      <w:pPr>
        <w:pStyle w:val="Normald09cbf9a"/>
        <w:widowControl/>
        <w:spacing w:line="200" w:lineRule="exact"/>
        <w:ind w:firstLine="26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bCs/>
          <w:color w:val="3D3D3D"/>
          <w:kern w:val="0"/>
          <w:sz w:val="13"/>
          <w:szCs w:val="13"/>
        </w:rPr>
        <w:t>个人投资者在首次通过销售机构购买理财产品时应根据销售机构的要求进行风险承受能力评估。如影响您风险承受能力的因素发生变化，请及时完成风险承受能力评估。</w:t>
      </w:r>
    </w:p>
    <w:p w:rsidR="00410864" w:rsidRDefault="006B59FA">
      <w:pPr>
        <w:pStyle w:val="Normald09cbf9a"/>
        <w:widowControl/>
        <w:spacing w:line="200" w:lineRule="exact"/>
        <w:ind w:firstLine="260"/>
        <w:rPr>
          <w:rFonts w:ascii="方正黑体_GBK" w:eastAsia="方正黑体_GBK" w:hAnsi="方正黑体_GBK" w:cs="方正黑体_GBK"/>
        </w:rPr>
      </w:pPr>
      <w:r>
        <w:rPr>
          <w:rFonts w:ascii="方正黑体_GBK" w:eastAsia="方正黑体_GBK" w:hAnsi="方正黑体_GBK" w:cs="方正黑体_GBK" w:hint="eastAsia"/>
          <w:b/>
          <w:bCs/>
          <w:color w:val="3D3D3D"/>
          <w:kern w:val="0"/>
          <w:sz w:val="13"/>
          <w:szCs w:val="13"/>
        </w:rPr>
        <w:t>最不利投资情形下的投资结果：若投资者认购或申购本理财产品，最不利情况下，投资组合内所有资产均发生以上所述的风险事件，且投资组合内所有资产均发生全额损失，则投资者赎回或到期收到款项为0，即投资者面临全部本金的损失。为保证当期理财投资者权益而产生的费用由当期理财产品承担。</w:t>
      </w:r>
    </w:p>
    <w:p w:rsidR="00410864" w:rsidRDefault="006B59FA">
      <w:pPr>
        <w:pStyle w:val="Normald09cbf9a"/>
        <w:widowControl/>
        <w:spacing w:line="200" w:lineRule="exact"/>
        <w:ind w:firstLine="260"/>
        <w:rPr>
          <w:rFonts w:ascii="方正黑体_GBK" w:eastAsia="方正黑体_GBK" w:hAnsi="方正黑体_GBK" w:cs="方正黑体_GBK"/>
          <w:b/>
          <w:bCs/>
          <w:color w:val="3D3D3D"/>
          <w:kern w:val="0"/>
          <w:sz w:val="13"/>
          <w:szCs w:val="13"/>
        </w:rPr>
      </w:pPr>
      <w:r>
        <w:rPr>
          <w:rFonts w:ascii="方正黑体_GBK" w:eastAsia="方正黑体_GBK" w:hAnsi="方正黑体_GBK" w:cs="方正黑体_GBK" w:hint="eastAsia"/>
          <w:b/>
          <w:bCs/>
          <w:color w:val="3D3D3D"/>
          <w:kern w:val="0"/>
          <w:sz w:val="13"/>
          <w:szCs w:val="13"/>
        </w:rPr>
        <w:t>示例：如投资者购买本理财产品，本金为1万元，在理财产品资产组合项下资产全部亏损的最不利情况下，理财产品1万元本金将全部损失。</w:t>
      </w:r>
    </w:p>
    <w:p w:rsidR="00410864" w:rsidRDefault="00410864">
      <w:pPr>
        <w:pStyle w:val="Normald09cbf9a"/>
        <w:widowControl/>
        <w:spacing w:line="200" w:lineRule="exact"/>
        <w:ind w:firstLine="260"/>
        <w:rPr>
          <w:rFonts w:ascii="方正黑体_GBK" w:eastAsia="方正黑体_GBK" w:hAnsi="方正黑体_GBK" w:cs="方正黑体_GBK"/>
          <w:b/>
          <w:color w:val="3D3D3D"/>
          <w:kern w:val="0"/>
          <w:sz w:val="13"/>
          <w:szCs w:val="13"/>
        </w:rPr>
      </w:pPr>
    </w:p>
    <w:p w:rsidR="00410864" w:rsidRDefault="006B59FA">
      <w:pPr>
        <w:pStyle w:val="Normald09cbf9a"/>
        <w:widowControl/>
        <w:spacing w:line="200" w:lineRule="exact"/>
        <w:ind w:firstLine="260"/>
        <w:jc w:val="center"/>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u w:val="single"/>
        </w:rPr>
        <w:t>上述风险客观存在，敬请投资者予以充分关注！</w:t>
      </w:r>
    </w:p>
    <w:p w:rsidR="00410864" w:rsidRDefault="00410864">
      <w:pPr>
        <w:pStyle w:val="Normald09cbf9a"/>
        <w:widowControl/>
        <w:spacing w:line="200" w:lineRule="exact"/>
        <w:ind w:firstLine="260"/>
        <w:jc w:val="center"/>
        <w:rPr>
          <w:rFonts w:ascii="方正黑体_GBK" w:eastAsia="方正黑体_GBK" w:hAnsi="方正黑体_GBK" w:cs="方正黑体_GBK"/>
          <w:b/>
          <w:color w:val="3D3D3D"/>
          <w:kern w:val="0"/>
          <w:sz w:val="15"/>
          <w:szCs w:val="15"/>
          <w:u w:val="single"/>
        </w:rPr>
      </w:pPr>
    </w:p>
    <w:p w:rsidR="00410864" w:rsidRDefault="006B59FA">
      <w:pPr>
        <w:pStyle w:val="Normald09cbf9a"/>
        <w:widowControl/>
        <w:spacing w:line="200" w:lineRule="exact"/>
        <w:ind w:firstLine="260"/>
        <w:jc w:val="left"/>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本风险揭示书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410864" w:rsidRDefault="006B59FA">
      <w:pPr>
        <w:widowControl/>
        <w:spacing w:line="200" w:lineRule="exact"/>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u w:val="single"/>
        </w:rPr>
        <w:t>投资者声明：</w:t>
      </w:r>
    </w:p>
    <w:p w:rsidR="00410864" w:rsidRDefault="006B59FA">
      <w:pPr>
        <w:widowControl/>
        <w:spacing w:line="200" w:lineRule="exact"/>
        <w:ind w:firstLine="420"/>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rPr>
        <w:t>1.</w:t>
      </w:r>
      <w:r>
        <w:rPr>
          <w:rFonts w:ascii="方正黑体_GBK" w:eastAsia="方正黑体_GBK" w:hAnsi="方正黑体_GBK" w:cs="方正黑体_GBK" w:hint="eastAsia"/>
          <w:b/>
          <w:color w:val="3D3D3D"/>
          <w:kern w:val="0"/>
          <w:sz w:val="15"/>
          <w:szCs w:val="15"/>
          <w:u w:val="single"/>
        </w:rPr>
        <w:t>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确认，本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购买本理财产品为本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真实的意思表示,并认为该理财产品完全适合本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的投资目标、投资预期以及风险承受能力，本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自愿承担由此带来的一切后果。本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确认南银理财/销售机构相关业务人员对于理财产品销售文件中限制或排除本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权利、增加或加重本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义务或责任以及有关免除或减轻南银理财责任或南银理财单方面拥有某些权利的条款已向本人予以说明，本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已完全理解并自愿接受。</w:t>
      </w:r>
    </w:p>
    <w:p w:rsidR="00410864" w:rsidRDefault="006B59FA">
      <w:pPr>
        <w:widowControl/>
        <w:spacing w:line="200" w:lineRule="exact"/>
        <w:ind w:firstLine="420"/>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rPr>
        <w:t>2.</w:t>
      </w:r>
      <w:r>
        <w:rPr>
          <w:rFonts w:ascii="方正黑体_GBK" w:eastAsia="方正黑体_GBK" w:hAnsi="方正黑体_GBK" w:cs="方正黑体_GBK" w:hint="eastAsia"/>
          <w:b/>
          <w:color w:val="3D3D3D"/>
          <w:kern w:val="0"/>
          <w:sz w:val="15"/>
          <w:szCs w:val="15"/>
          <w:u w:val="single"/>
        </w:rPr>
        <w:t>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确认，将向本理财产品销售机构真实提供信息，自主作出认购/申购/赎回等决定，自主承担投资风险。本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拒绝向销售机构提供或者未按照要求提供信息的，销售机构有权告知本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相应的后果和责任，并有权拒绝向本</w:t>
      </w:r>
      <w:r>
        <w:rPr>
          <w:rFonts w:ascii="方正黑体_GBK" w:eastAsia="方正黑体_GBK" w:hAnsi="方正黑体_GBK" w:cs="方正黑体_GBK" w:hint="eastAsia"/>
          <w:b/>
          <w:bCs/>
          <w:color w:val="3D3D3D"/>
          <w:kern w:val="0"/>
          <w:sz w:val="15"/>
          <w:szCs w:val="15"/>
          <w:u w:val="single"/>
        </w:rPr>
        <w:t>投资者</w:t>
      </w:r>
      <w:r>
        <w:rPr>
          <w:rFonts w:ascii="方正黑体_GBK" w:eastAsia="方正黑体_GBK" w:hAnsi="方正黑体_GBK" w:cs="方正黑体_GBK" w:hint="eastAsia"/>
          <w:b/>
          <w:color w:val="3D3D3D"/>
          <w:kern w:val="0"/>
          <w:sz w:val="15"/>
          <w:szCs w:val="15"/>
          <w:u w:val="single"/>
        </w:rPr>
        <w:t>提供销售服务。</w:t>
      </w:r>
    </w:p>
    <w:p w:rsidR="00410864" w:rsidRDefault="006B59FA">
      <w:pPr>
        <w:widowControl/>
        <w:spacing w:line="200" w:lineRule="exact"/>
        <w:ind w:firstLine="420"/>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rPr>
        <w:t>3.</w:t>
      </w:r>
      <w:r>
        <w:rPr>
          <w:rFonts w:ascii="方正黑体_GBK" w:eastAsia="方正黑体_GBK" w:hAnsi="方正黑体_GBK" w:cs="方正黑体_GBK" w:hint="eastAsia"/>
          <w:b/>
          <w:color w:val="3D3D3D"/>
          <w:kern w:val="0"/>
          <w:sz w:val="15"/>
          <w:szCs w:val="15"/>
          <w:u w:val="single"/>
        </w:rPr>
        <w:t>本投资者确认，投资本理财产品的资金非贷款、发行债券等募集的非自有资金。</w:t>
      </w:r>
    </w:p>
    <w:p w:rsidR="00410864" w:rsidRDefault="006B59FA">
      <w:pPr>
        <w:widowControl/>
        <w:spacing w:line="200" w:lineRule="exact"/>
        <w:ind w:firstLine="420"/>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rPr>
        <w:t>4.</w:t>
      </w:r>
      <w:r>
        <w:rPr>
          <w:rFonts w:ascii="方正黑体_GBK" w:eastAsia="方正黑体_GBK" w:hAnsi="方正黑体_GBK" w:cs="方正黑体_GBK" w:hint="eastAsia"/>
          <w:b/>
          <w:color w:val="3D3D3D"/>
          <w:kern w:val="0"/>
          <w:sz w:val="15"/>
          <w:szCs w:val="15"/>
          <w:u w:val="single"/>
        </w:rPr>
        <w:t>本投资者在购买本理财产品前已完成风险承受能力评估，且该评估结果具有效力。本投资者的风险评级结果为    （低、 中低、中、中高、高）。如果影响本投资者风险承受能力的因素发生变化，本投资者将及时完成风险承受能力评估，否则由此产生的责任和风险由本投资者自行承担。（仅由个人投资者亲自填写）</w:t>
      </w:r>
    </w:p>
    <w:p w:rsidR="00410864" w:rsidRDefault="006B59FA">
      <w:pPr>
        <w:widowControl/>
        <w:spacing w:line="200" w:lineRule="exact"/>
        <w:ind w:firstLine="420"/>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rPr>
        <w:t>5.</w:t>
      </w:r>
      <w:r>
        <w:rPr>
          <w:rFonts w:ascii="方正黑体_GBK" w:eastAsia="方正黑体_GBK" w:hAnsi="方正黑体_GBK" w:cs="方正黑体_GBK" w:hint="eastAsia"/>
          <w:b/>
          <w:color w:val="3D3D3D"/>
          <w:kern w:val="0"/>
          <w:sz w:val="15"/>
          <w:szCs w:val="15"/>
          <w:u w:val="single"/>
        </w:rPr>
        <w:t>本投资者已认真阅读并充分理解本风险揭示书及对应期次《理财产品销售协议书》《理财产品说明书》《投资者权益须知》《理财产品投资协议书》等理财产品销售文件的全部条款与内容，完全清楚理财产品购买流程、风险评估、产品评级含义、信息披露方式及渠道、南银理财及销售机构联系方式及投诉程序等内容，充分了解履行上述文件的责任，具有识别及承担相关风险的能力，充分了解本理财产品的风险并愿意承担相关风险。</w:t>
      </w:r>
    </w:p>
    <w:p w:rsidR="00410864" w:rsidRDefault="006B59FA">
      <w:pPr>
        <w:widowControl/>
        <w:spacing w:line="200" w:lineRule="exact"/>
        <w:ind w:firstLine="420"/>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rPr>
        <w:t>6.</w:t>
      </w:r>
      <w:r>
        <w:rPr>
          <w:rFonts w:ascii="方正黑体_GBK" w:eastAsia="方正黑体_GBK" w:hAnsi="方正黑体_GBK" w:cs="方正黑体_GBK"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rsidR="00410864" w:rsidRDefault="006B59FA">
      <w:pPr>
        <w:widowControl/>
        <w:spacing w:line="200" w:lineRule="exact"/>
        <w:ind w:firstLine="420"/>
        <w:rPr>
          <w:rFonts w:ascii="方正黑体_GBK" w:eastAsia="方正黑体_GBK" w:hAnsi="方正黑体_GBK" w:cs="方正黑体_GBK"/>
          <w:b/>
          <w:color w:val="3D3D3D"/>
          <w:kern w:val="0"/>
          <w:sz w:val="15"/>
          <w:szCs w:val="15"/>
          <w:u w:val="single"/>
        </w:rPr>
      </w:pPr>
      <w:r>
        <w:rPr>
          <w:rFonts w:ascii="方正黑体_GBK" w:eastAsia="方正黑体_GBK" w:hAnsi="方正黑体_GBK" w:cs="方正黑体_GBK" w:hint="eastAsia"/>
          <w:b/>
          <w:color w:val="3D3D3D"/>
          <w:kern w:val="0"/>
          <w:sz w:val="15"/>
          <w:szCs w:val="15"/>
        </w:rPr>
        <w:t>7.</w:t>
      </w:r>
      <w:r>
        <w:rPr>
          <w:rFonts w:ascii="方正黑体_GBK" w:eastAsia="方正黑体_GBK" w:hAnsi="方正黑体_GBK" w:cs="方正黑体_GBK" w:hint="eastAsia"/>
          <w:b/>
          <w:color w:val="3D3D3D"/>
          <w:kern w:val="0"/>
          <w:sz w:val="15"/>
          <w:szCs w:val="15"/>
          <w:u w:val="single"/>
        </w:rPr>
        <w:t>如销售机构为管理人关联方的，本投资者认可此等关联方及关联交易情形的存在并自愿承担相关投资风险。</w:t>
      </w:r>
    </w:p>
    <w:p w:rsidR="00410864" w:rsidRDefault="006B59FA">
      <w:pPr>
        <w:widowControl/>
        <w:spacing w:line="200" w:lineRule="exact"/>
        <w:ind w:firstLine="420"/>
        <w:rPr>
          <w:rFonts w:ascii="方正黑体_GBK" w:eastAsia="方正黑体_GBK" w:hAnsi="方正黑体_GBK" w:cs="方正黑体_GBK"/>
          <w:color w:val="3D3D3D"/>
          <w:kern w:val="0"/>
          <w:sz w:val="15"/>
          <w:szCs w:val="15"/>
          <w:u w:val="single"/>
        </w:rPr>
      </w:pPr>
      <w:r>
        <w:rPr>
          <w:rFonts w:ascii="方正黑体_GBK" w:eastAsia="方正黑体_GBK" w:hAnsi="方正黑体_GBK" w:cs="方正黑体_GBK" w:hint="eastAsia"/>
          <w:color w:val="3D3D3D"/>
          <w:kern w:val="0"/>
          <w:sz w:val="15"/>
          <w:szCs w:val="15"/>
        </w:rPr>
        <w:t>8.以下划线部分，请投资者抄录确认：“</w:t>
      </w:r>
      <w:r>
        <w:rPr>
          <w:rFonts w:ascii="方正黑体_GBK" w:eastAsia="方正黑体_GBK" w:hAnsi="方正黑体_GBK" w:cs="方正黑体_GBK" w:hint="eastAsia"/>
          <w:b/>
          <w:color w:val="3D3D3D"/>
          <w:kern w:val="0"/>
          <w:sz w:val="15"/>
          <w:szCs w:val="15"/>
          <w:u w:val="single"/>
        </w:rPr>
        <w:t>本人已经阅读风险揭示，愿意承担投资风险</w:t>
      </w:r>
      <w:r>
        <w:rPr>
          <w:rFonts w:ascii="方正黑体_GBK" w:eastAsia="方正黑体_GBK" w:hAnsi="方正黑体_GBK" w:cs="方正黑体_GBK" w:hint="eastAsia"/>
          <w:color w:val="3D3D3D"/>
          <w:kern w:val="0"/>
          <w:sz w:val="15"/>
          <w:szCs w:val="15"/>
        </w:rPr>
        <w:t>”。</w:t>
      </w:r>
    </w:p>
    <w:p w:rsidR="00410864" w:rsidRDefault="006B59FA">
      <w:pPr>
        <w:widowControl/>
        <w:spacing w:line="200" w:lineRule="exact"/>
        <w:ind w:firstLine="21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w:t>
      </w:r>
    </w:p>
    <w:p w:rsidR="00410864" w:rsidRDefault="00410864">
      <w:pPr>
        <w:widowControl/>
        <w:spacing w:line="200" w:lineRule="exact"/>
        <w:ind w:firstLine="210"/>
        <w:rPr>
          <w:rFonts w:ascii="方正黑体_GBK" w:eastAsia="方正黑体_GBK" w:hAnsi="方正黑体_GBK" w:cs="方正黑体_GBK"/>
          <w:color w:val="3D3D3D"/>
          <w:kern w:val="0"/>
          <w:sz w:val="15"/>
          <w:szCs w:val="15"/>
        </w:rPr>
      </w:pPr>
    </w:p>
    <w:p w:rsidR="00410864" w:rsidRDefault="006B59FA">
      <w:pPr>
        <w:widowControl/>
        <w:spacing w:line="200" w:lineRule="exact"/>
        <w:ind w:firstLine="21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投资者抄录：</w:t>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r>
        <w:rPr>
          <w:rFonts w:ascii="方正黑体_GBK" w:eastAsia="方正黑体_GBK" w:hAnsi="方正黑体_GBK" w:cs="方正黑体_GBK" w:hint="eastAsia"/>
          <w:sz w:val="15"/>
          <w:szCs w:val="15"/>
          <w:u w:val="single"/>
        </w:rPr>
        <w:tab/>
      </w:r>
    </w:p>
    <w:p w:rsidR="00410864" w:rsidRDefault="00410864">
      <w:pPr>
        <w:widowControl/>
        <w:spacing w:line="200" w:lineRule="exact"/>
        <w:ind w:firstLine="210"/>
        <w:rPr>
          <w:rFonts w:ascii="方正黑体_GBK" w:eastAsia="方正黑体_GBK" w:hAnsi="方正黑体_GBK" w:cs="方正黑体_GBK"/>
          <w:color w:val="3D3D3D"/>
          <w:kern w:val="0"/>
          <w:sz w:val="13"/>
          <w:szCs w:val="13"/>
        </w:rPr>
      </w:pPr>
    </w:p>
    <w:p w:rsidR="00410864" w:rsidRDefault="00410864">
      <w:pPr>
        <w:widowControl/>
        <w:spacing w:line="200" w:lineRule="exact"/>
        <w:ind w:firstLine="210"/>
        <w:jc w:val="left"/>
        <w:rPr>
          <w:rFonts w:ascii="方正黑体_GBK" w:eastAsia="方正黑体_GBK" w:hAnsi="方正黑体_GBK" w:cs="方正黑体_GBK"/>
          <w:color w:val="3D3D3D"/>
          <w:kern w:val="0"/>
          <w:sz w:val="13"/>
          <w:szCs w:val="13"/>
        </w:rPr>
      </w:pPr>
    </w:p>
    <w:p w:rsidR="00410864" w:rsidRDefault="00410864">
      <w:pPr>
        <w:widowControl/>
        <w:spacing w:line="200" w:lineRule="exact"/>
        <w:ind w:firstLine="210"/>
        <w:jc w:val="left"/>
        <w:rPr>
          <w:rFonts w:ascii="方正黑体_GBK" w:eastAsia="方正黑体_GBK" w:hAnsi="方正黑体_GBK" w:cs="方正黑体_GBK"/>
          <w:color w:val="3D3D3D"/>
          <w:kern w:val="0"/>
          <w:sz w:val="13"/>
          <w:szCs w:val="13"/>
        </w:rPr>
      </w:pPr>
    </w:p>
    <w:tbl>
      <w:tblPr>
        <w:tblW w:w="0" w:type="auto"/>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410864">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400" w:lineRule="exact"/>
              <w:jc w:val="center"/>
              <w:rPr>
                <w:rFonts w:ascii="方正黑体_GBK" w:eastAsia="方正黑体_GBK" w:hAnsi="方正黑体_GBK" w:cs="方正黑体_GBK"/>
                <w:b/>
                <w:sz w:val="15"/>
                <w:szCs w:val="15"/>
              </w:rPr>
            </w:pPr>
            <w:r>
              <w:rPr>
                <w:rFonts w:ascii="方正黑体_GBK" w:eastAsia="方正黑体_GBK" w:hAnsi="方正黑体_GBK" w:cs="方正黑体_GBK" w:hint="eastAsia"/>
                <w:b/>
                <w:sz w:val="15"/>
                <w:szCs w:val="15"/>
              </w:rPr>
              <w:t>个人投资者</w:t>
            </w:r>
          </w:p>
        </w:tc>
      </w:tr>
      <w:tr w:rsidR="00410864">
        <w:tc>
          <w:tcPr>
            <w:tcW w:w="9287" w:type="dxa"/>
            <w:tcBorders>
              <w:top w:val="single" w:sz="4" w:space="0" w:color="auto"/>
              <w:left w:val="single" w:sz="4" w:space="0" w:color="auto"/>
              <w:bottom w:val="single" w:sz="4" w:space="0" w:color="auto"/>
              <w:right w:val="single" w:sz="4" w:space="0" w:color="auto"/>
              <w:tl2br w:val="nil"/>
              <w:tr2bl w:val="nil"/>
            </w:tcBorders>
          </w:tcPr>
          <w:p w:rsidR="00410864" w:rsidRDefault="006B59FA">
            <w:pPr>
              <w:widowControl/>
              <w:spacing w:line="360" w:lineRule="auto"/>
              <w:rPr>
                <w:rFonts w:ascii="方正黑体_GBK" w:eastAsia="方正黑体_GBK" w:hAnsi="方正黑体_GBK" w:cs="方正黑体_GBK"/>
                <w:color w:val="3D3D3D"/>
                <w:kern w:val="0"/>
                <w:sz w:val="13"/>
                <w:szCs w:val="13"/>
              </w:rPr>
            </w:pPr>
            <w:r>
              <w:rPr>
                <w:rFonts w:ascii="方正黑体_GBK" w:eastAsia="方正黑体_GBK" w:hAnsi="方正黑体_GBK" w:cs="方正黑体_GBK" w:hint="eastAsia"/>
                <w:sz w:val="15"/>
                <w:szCs w:val="15"/>
              </w:rPr>
              <w:t>签名：</w:t>
            </w:r>
          </w:p>
          <w:p w:rsidR="00410864" w:rsidRDefault="006B59FA">
            <w:pPr>
              <w:widowControl/>
              <w:spacing w:line="360" w:lineRule="auto"/>
              <w:ind w:firstLineChars="100" w:firstLine="130"/>
              <w:rPr>
                <w:rFonts w:ascii="方正黑体_GBK" w:eastAsia="方正黑体_GBK" w:hAnsi="方正黑体_GBK" w:cs="方正黑体_GBK"/>
                <w:sz w:val="15"/>
                <w:szCs w:val="15"/>
              </w:rPr>
            </w:pPr>
            <w:r>
              <w:rPr>
                <w:rFonts w:ascii="方正黑体_GBK" w:eastAsia="方正黑体_GBK" w:hAnsi="方正黑体_GBK" w:cs="方正黑体_GBK" w:hint="eastAsia"/>
                <w:color w:val="3D3D3D"/>
                <w:kern w:val="0"/>
                <w:sz w:val="13"/>
                <w:szCs w:val="13"/>
              </w:rPr>
              <w:t>年   月    日</w:t>
            </w:r>
          </w:p>
        </w:tc>
      </w:tr>
      <w:tr w:rsidR="00410864">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400" w:lineRule="exact"/>
              <w:jc w:val="center"/>
              <w:rPr>
                <w:rFonts w:ascii="方正黑体_GBK" w:eastAsia="方正黑体_GBK" w:hAnsi="方正黑体_GBK" w:cs="方正黑体_GBK"/>
                <w:sz w:val="15"/>
                <w:szCs w:val="15"/>
              </w:rPr>
            </w:pPr>
            <w:r>
              <w:rPr>
                <w:rFonts w:ascii="方正黑体_GBK" w:eastAsia="方正黑体_GBK" w:hAnsi="方正黑体_GBK" w:cs="方正黑体_GBK" w:hint="eastAsia"/>
                <w:b/>
                <w:bCs/>
                <w:color w:val="3D3D3D"/>
                <w:kern w:val="0"/>
                <w:sz w:val="15"/>
                <w:szCs w:val="15"/>
              </w:rPr>
              <w:t>机构投资者</w:t>
            </w:r>
          </w:p>
        </w:tc>
      </w:tr>
      <w:tr w:rsidR="00410864">
        <w:tc>
          <w:tcPr>
            <w:tcW w:w="9287" w:type="dxa"/>
            <w:tcBorders>
              <w:top w:val="single" w:sz="4" w:space="0" w:color="auto"/>
              <w:left w:val="single" w:sz="4" w:space="0" w:color="auto"/>
              <w:bottom w:val="single" w:sz="4" w:space="0" w:color="auto"/>
              <w:right w:val="single" w:sz="4" w:space="0" w:color="auto"/>
              <w:tl2br w:val="nil"/>
              <w:tr2bl w:val="nil"/>
            </w:tcBorders>
          </w:tcPr>
          <w:p w:rsidR="00410864" w:rsidRDefault="00410864">
            <w:pPr>
              <w:widowControl/>
              <w:spacing w:line="200" w:lineRule="exact"/>
              <w:jc w:val="left"/>
              <w:rPr>
                <w:rFonts w:ascii="方正黑体_GBK" w:eastAsia="方正黑体_GBK" w:hAnsi="方正黑体_GBK" w:cs="方正黑体_GBK"/>
                <w:b/>
                <w:bCs/>
                <w:color w:val="3D3D3D"/>
                <w:kern w:val="0"/>
                <w:sz w:val="15"/>
                <w:szCs w:val="15"/>
              </w:rPr>
            </w:pPr>
          </w:p>
          <w:p w:rsidR="00410864" w:rsidRDefault="006B59FA">
            <w:pPr>
              <w:widowControl/>
              <w:spacing w:line="200" w:lineRule="exact"/>
              <w:jc w:val="left"/>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盖章（公章）</w:t>
            </w:r>
          </w:p>
          <w:p w:rsidR="00410864" w:rsidRDefault="00410864">
            <w:pPr>
              <w:widowControl/>
              <w:spacing w:line="200" w:lineRule="exact"/>
              <w:jc w:val="left"/>
              <w:rPr>
                <w:rFonts w:ascii="方正黑体_GBK" w:eastAsia="方正黑体_GBK" w:hAnsi="方正黑体_GBK" w:cs="方正黑体_GBK"/>
                <w:b/>
                <w:bCs/>
                <w:color w:val="3D3D3D"/>
                <w:kern w:val="0"/>
                <w:sz w:val="15"/>
                <w:szCs w:val="15"/>
              </w:rPr>
            </w:pPr>
          </w:p>
          <w:p w:rsidR="00410864" w:rsidRDefault="006B59FA">
            <w:pPr>
              <w:widowControl/>
              <w:spacing w:line="200" w:lineRule="exact"/>
              <w:jc w:val="left"/>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 xml:space="preserve">法定代表人或授权代理人（签名或盖章）： </w:t>
            </w:r>
            <w:r>
              <w:rPr>
                <w:rFonts w:ascii="方正黑体_GBK" w:eastAsia="方正黑体_GBK" w:hAnsi="方正黑体_GBK" w:cs="方正黑体_GBK" w:hint="eastAsia"/>
                <w:b/>
                <w:bCs/>
                <w:color w:val="3D3D3D"/>
                <w:kern w:val="0"/>
                <w:sz w:val="15"/>
                <w:szCs w:val="15"/>
              </w:rPr>
              <w:tab/>
            </w:r>
          </w:p>
          <w:p w:rsidR="00410864" w:rsidRDefault="00410864">
            <w:pPr>
              <w:widowControl/>
              <w:spacing w:line="200" w:lineRule="exact"/>
              <w:jc w:val="left"/>
              <w:rPr>
                <w:rFonts w:ascii="方正黑体_GBK" w:eastAsia="方正黑体_GBK" w:hAnsi="方正黑体_GBK" w:cs="方正黑体_GBK"/>
                <w:color w:val="3D3D3D"/>
                <w:kern w:val="0"/>
                <w:sz w:val="13"/>
                <w:szCs w:val="13"/>
              </w:rPr>
            </w:pPr>
          </w:p>
          <w:p w:rsidR="00410864" w:rsidRDefault="006B59FA">
            <w:pPr>
              <w:widowControl/>
              <w:spacing w:line="200" w:lineRule="exact"/>
              <w:jc w:val="left"/>
              <w:rPr>
                <w:rFonts w:ascii="方正黑体_GBK" w:eastAsia="方正黑体_GBK" w:hAnsi="方正黑体_GBK" w:cs="方正黑体_GBK"/>
                <w:sz w:val="15"/>
                <w:szCs w:val="15"/>
              </w:rPr>
            </w:pPr>
            <w:r>
              <w:rPr>
                <w:rFonts w:ascii="方正黑体_GBK" w:eastAsia="方正黑体_GBK" w:hAnsi="方正黑体_GBK" w:cs="方正黑体_GBK" w:hint="eastAsia"/>
                <w:color w:val="3D3D3D"/>
                <w:kern w:val="0"/>
                <w:sz w:val="13"/>
                <w:szCs w:val="13"/>
              </w:rPr>
              <w:t xml:space="preserve">      年   月    日</w:t>
            </w:r>
          </w:p>
        </w:tc>
      </w:tr>
      <w:tr w:rsidR="00410864">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400" w:lineRule="exact"/>
              <w:jc w:val="center"/>
              <w:rPr>
                <w:rFonts w:ascii="方正黑体_GBK" w:eastAsia="方正黑体_GBK" w:hAnsi="方正黑体_GBK" w:cs="方正黑体_GBK"/>
                <w:sz w:val="15"/>
                <w:szCs w:val="15"/>
              </w:rPr>
            </w:pPr>
            <w:r>
              <w:rPr>
                <w:rFonts w:ascii="方正黑体_GBK" w:eastAsia="方正黑体_GBK" w:hAnsi="方正黑体_GBK" w:cs="方正黑体_GBK" w:hint="eastAsia"/>
                <w:b/>
                <w:bCs/>
                <w:sz w:val="15"/>
                <w:szCs w:val="15"/>
              </w:rPr>
              <w:t>电子渠道</w:t>
            </w:r>
          </w:p>
        </w:tc>
      </w:tr>
      <w:tr w:rsidR="00410864">
        <w:tc>
          <w:tcPr>
            <w:tcW w:w="9287" w:type="dxa"/>
            <w:tcBorders>
              <w:top w:val="single" w:sz="4" w:space="0" w:color="auto"/>
              <w:left w:val="single" w:sz="4" w:space="0" w:color="auto"/>
              <w:bottom w:val="single" w:sz="4" w:space="0" w:color="auto"/>
              <w:right w:val="single" w:sz="4" w:space="0" w:color="auto"/>
              <w:tl2br w:val="nil"/>
              <w:tr2bl w:val="nil"/>
            </w:tcBorders>
          </w:tcPr>
          <w:p w:rsidR="00410864" w:rsidRDefault="006B59FA">
            <w:pPr>
              <w:widowControl/>
              <w:spacing w:line="200" w:lineRule="exact"/>
              <w:ind w:firstLineChars="200" w:firstLine="300"/>
              <w:rPr>
                <w:rFonts w:ascii="方正黑体_GBK" w:eastAsia="方正黑体_GBK" w:hAnsi="方正黑体_GBK" w:cs="方正黑体_GBK"/>
                <w:sz w:val="15"/>
                <w:szCs w:val="15"/>
              </w:rPr>
            </w:pPr>
            <w:r>
              <w:rPr>
                <w:rFonts w:ascii="方正黑体_GBK" w:eastAsia="方正黑体_GBK" w:hAnsi="方正黑体_GBK" w:cs="方正黑体_GBK" w:hint="eastAsia"/>
                <w:b/>
                <w:color w:val="3D3D3D"/>
                <w:kern w:val="0"/>
                <w:sz w:val="15"/>
                <w:szCs w:val="15"/>
                <w:u w:val="single"/>
              </w:rPr>
              <w:t>如投资者通过电子渠道（包括但不限于网上银行、手机银行或官方网站等）购买本理财产品的，</w:t>
            </w:r>
            <w:r>
              <w:rPr>
                <w:rFonts w:ascii="方正黑体_GBK" w:eastAsia="方正黑体_GBK" w:hAnsi="方正黑体_GBK" w:cs="方正黑体_GBK" w:hint="eastAsia"/>
                <w:spacing w:val="10"/>
                <w:sz w:val="15"/>
                <w:szCs w:val="15"/>
              </w:rPr>
              <w:t>本风险揭示书以数据电文形式订立，</w:t>
            </w:r>
            <w:r>
              <w:rPr>
                <w:rFonts w:ascii="方正黑体_GBK" w:eastAsia="方正黑体_GBK" w:hAnsi="方正黑体_GBK" w:cs="方正黑体_GBK" w:hint="eastAsia"/>
                <w:b/>
                <w:color w:val="3D3D3D"/>
                <w:kern w:val="0"/>
                <w:sz w:val="15"/>
                <w:szCs w:val="15"/>
                <w:u w:val="single"/>
              </w:rPr>
              <w:t>投资者应在电子渠道仔细阅读风险揭示书的所有条款，对风险揭示书条款的含义及相应的法律后果应全部知晓并充分理解，同意接受风险揭示书条款，投资者成功缴纳购买资金并经管理人系统确认购买份额后即视为投资者确认其符合本理财产品的风险等级并自愿承担投资风险。</w:t>
            </w:r>
            <w:r>
              <w:rPr>
                <w:rFonts w:ascii="方正黑体_GBK" w:eastAsia="方正黑体_GBK" w:hAnsi="方正黑体_GBK" w:cs="方正黑体_GBK" w:hint="eastAsia"/>
                <w:spacing w:val="10"/>
                <w:sz w:val="15"/>
                <w:szCs w:val="15"/>
              </w:rPr>
              <w:t>电子渠道所生成和保留记载的相关电子数据及交易记录以及南银理财、销售机构、托管机构制作或保留的相关电子及纸质单据、凭证、记录等相关资料，构成有效证明投资者与南银理财双方之间权利义务关系的确定证据，投资者无条件认可电子数据的有效性和证据效力。</w:t>
            </w:r>
          </w:p>
        </w:tc>
      </w:tr>
    </w:tbl>
    <w:p w:rsidR="00410864" w:rsidRDefault="00410864">
      <w:pPr>
        <w:rPr>
          <w:rFonts w:ascii="方正黑体_GBK" w:eastAsia="方正黑体_GBK" w:hAnsi="方正黑体_GBK" w:cs="方正黑体_GBK"/>
        </w:rPr>
      </w:pPr>
    </w:p>
    <w:p w:rsidR="00410864" w:rsidRDefault="00410864">
      <w:pPr>
        <w:spacing w:line="0" w:lineRule="atLeast"/>
        <w:jc w:val="center"/>
        <w:rPr>
          <w:rFonts w:ascii="方正黑体_GBK" w:eastAsia="方正黑体_GBK" w:hAnsi="方正黑体_GBK" w:cs="方正黑体_GBK"/>
          <w:b/>
          <w:bCs/>
          <w:kern w:val="0"/>
          <w:sz w:val="24"/>
          <w:szCs w:val="24"/>
        </w:rPr>
        <w:sectPr w:rsidR="00410864">
          <w:headerReference w:type="default" r:id="rId7"/>
          <w:pgSz w:w="11907" w:h="16839"/>
          <w:pgMar w:top="720" w:right="720" w:bottom="720" w:left="720" w:header="851" w:footer="992" w:gutter="0"/>
          <w:cols w:space="720"/>
          <w:docGrid w:type="lines" w:linePitch="312"/>
        </w:sectPr>
      </w:pPr>
    </w:p>
    <w:p w:rsidR="00410864" w:rsidRDefault="006B59FA">
      <w:pPr>
        <w:spacing w:line="0" w:lineRule="atLeast"/>
        <w:jc w:val="center"/>
        <w:rPr>
          <w:rFonts w:ascii="方正黑体_GBK" w:eastAsia="方正黑体_GBK" w:hAnsi="方正黑体_GBK" w:cs="方正黑体_GBK"/>
          <w:b/>
          <w:bCs/>
          <w:kern w:val="0"/>
          <w:sz w:val="24"/>
          <w:szCs w:val="24"/>
        </w:rPr>
      </w:pPr>
      <w:r>
        <w:rPr>
          <w:rFonts w:ascii="方正黑体_GBK" w:eastAsia="方正黑体_GBK" w:hAnsi="方正黑体_GBK" w:cs="方正黑体_GBK" w:hint="eastAsia"/>
          <w:b/>
          <w:bCs/>
          <w:kern w:val="0"/>
          <w:sz w:val="24"/>
          <w:szCs w:val="24"/>
        </w:rPr>
        <w:lastRenderedPageBreak/>
        <w:t>理财产品说明书</w:t>
      </w:r>
    </w:p>
    <w:p w:rsidR="00410864" w:rsidRDefault="006B59FA">
      <w:pPr>
        <w:spacing w:line="0" w:lineRule="atLeast"/>
        <w:jc w:val="center"/>
        <w:rPr>
          <w:rFonts w:ascii="方正黑体_GBK" w:eastAsia="方正黑体_GBK" w:hAnsi="方正黑体_GBK" w:cs="方正黑体_GBK"/>
          <w:b/>
          <w:bCs/>
          <w:i/>
          <w:iCs/>
          <w:kern w:val="0"/>
          <w:sz w:val="24"/>
          <w:szCs w:val="24"/>
          <w:u w:val="single"/>
        </w:rPr>
      </w:pPr>
      <w:r>
        <w:rPr>
          <w:rFonts w:ascii="方正黑体_GBK" w:eastAsia="方正黑体_GBK" w:hAnsi="方正黑体_GBK" w:cs="方正黑体_GBK" w:hint="eastAsia"/>
          <w:b/>
          <w:bCs/>
          <w:i/>
          <w:iCs/>
          <w:kern w:val="0"/>
          <w:sz w:val="24"/>
          <w:szCs w:val="24"/>
          <w:u w:val="single"/>
        </w:rPr>
        <w:t>“理财非存款、产品有风险、投资须谨慎”！</w:t>
      </w:r>
    </w:p>
    <w:p w:rsidR="00410864" w:rsidRDefault="006B59FA">
      <w:pPr>
        <w:pStyle w:val="a8"/>
        <w:spacing w:line="200" w:lineRule="exact"/>
        <w:ind w:firstLine="0"/>
        <w:jc w:val="both"/>
        <w:rPr>
          <w:rFonts w:ascii="方正黑体_GBK" w:eastAsia="方正黑体_GBK" w:hAnsi="方正黑体_GBK" w:cs="方正黑体_GBK"/>
          <w:b/>
          <w:color w:val="3D3D3D"/>
          <w:sz w:val="15"/>
          <w:szCs w:val="15"/>
        </w:rPr>
      </w:pPr>
      <w:r>
        <w:rPr>
          <w:rFonts w:ascii="方正黑体_GBK" w:eastAsia="方正黑体_GBK" w:hAnsi="方正黑体_GBK" w:cs="方正黑体_GBK" w:hint="eastAsia"/>
          <w:b/>
          <w:color w:val="3D3D3D"/>
          <w:sz w:val="15"/>
          <w:szCs w:val="15"/>
        </w:rPr>
        <w:t>第一条  产品基本要素</w:t>
      </w:r>
    </w:p>
    <w:tbl>
      <w:tblPr>
        <w:tblW w:w="10099"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1824"/>
        <w:gridCol w:w="8275"/>
      </w:tblGrid>
      <w:tr w:rsidR="00410864">
        <w:trPr>
          <w:trHeight w:val="23"/>
          <w:jc w:val="center"/>
        </w:trPr>
        <w:tc>
          <w:tcPr>
            <w:tcW w:w="1824" w:type="dxa"/>
            <w:tcBorders>
              <w:top w:val="single" w:sz="4" w:space="0" w:color="auto"/>
              <w:left w:val="single" w:sz="4" w:space="0" w:color="auto"/>
              <w:bottom w:val="single" w:sz="2"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产品名称</w:t>
            </w:r>
          </w:p>
        </w:tc>
        <w:tc>
          <w:tcPr>
            <w:tcW w:w="8275" w:type="dxa"/>
            <w:tcBorders>
              <w:top w:val="single" w:sz="4" w:space="0" w:color="auto"/>
              <w:left w:val="nil"/>
              <w:bottom w:val="single" w:sz="2"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南银理财鼎瑞悦稳（最低持有7天）公募人民币理财产品</w:t>
            </w:r>
          </w:p>
        </w:tc>
      </w:tr>
      <w:tr w:rsidR="00410864">
        <w:trPr>
          <w:trHeight w:val="23"/>
          <w:jc w:val="center"/>
        </w:trPr>
        <w:tc>
          <w:tcPr>
            <w:tcW w:w="1824" w:type="dxa"/>
            <w:tcBorders>
              <w:top w:val="single" w:sz="2" w:space="0" w:color="auto"/>
              <w:left w:val="single" w:sz="2" w:space="0" w:color="auto"/>
              <w:bottom w:val="single" w:sz="2" w:space="0" w:color="auto"/>
              <w:right w:val="single" w:sz="2" w:space="0" w:color="auto"/>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产品类型</w:t>
            </w:r>
          </w:p>
        </w:tc>
        <w:tc>
          <w:tcPr>
            <w:tcW w:w="8275" w:type="dxa"/>
            <w:tcBorders>
              <w:top w:val="single" w:sz="2" w:space="0" w:color="auto"/>
              <w:left w:val="single" w:sz="2" w:space="0" w:color="auto"/>
              <w:bottom w:val="single" w:sz="2" w:space="0" w:color="auto"/>
              <w:right w:val="single" w:sz="2" w:space="0" w:color="auto"/>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开放式、固定收益类、公募、净值型</w:t>
            </w:r>
          </w:p>
        </w:tc>
      </w:tr>
      <w:tr w:rsidR="00410864">
        <w:trPr>
          <w:trHeight w:val="23"/>
          <w:jc w:val="center"/>
        </w:trPr>
        <w:tc>
          <w:tcPr>
            <w:tcW w:w="1824" w:type="dxa"/>
            <w:tcBorders>
              <w:top w:val="single" w:sz="2" w:space="0" w:color="auto"/>
              <w:left w:val="single" w:sz="2" w:space="0" w:color="auto"/>
              <w:bottom w:val="single" w:sz="2" w:space="0" w:color="auto"/>
              <w:right w:val="single" w:sz="2" w:space="0" w:color="auto"/>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募集方式</w:t>
            </w:r>
          </w:p>
        </w:tc>
        <w:tc>
          <w:tcPr>
            <w:tcW w:w="8275" w:type="dxa"/>
            <w:tcBorders>
              <w:top w:val="single" w:sz="2" w:space="0" w:color="auto"/>
              <w:left w:val="single" w:sz="2" w:space="0" w:color="auto"/>
              <w:bottom w:val="single" w:sz="2" w:space="0" w:color="auto"/>
              <w:right w:val="single" w:sz="2" w:space="0" w:color="auto"/>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公开募集</w:t>
            </w:r>
          </w:p>
        </w:tc>
      </w:tr>
      <w:tr w:rsidR="00410864">
        <w:trPr>
          <w:trHeight w:val="23"/>
          <w:jc w:val="center"/>
        </w:trPr>
        <w:tc>
          <w:tcPr>
            <w:tcW w:w="1824" w:type="dxa"/>
            <w:tcBorders>
              <w:top w:val="single" w:sz="2"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理财产品代码</w:t>
            </w:r>
          </w:p>
        </w:tc>
        <w:tc>
          <w:tcPr>
            <w:tcW w:w="8275" w:type="dxa"/>
            <w:tcBorders>
              <w:top w:val="single" w:sz="2"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ZZ700322301901</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产品登记编码</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Z7003223000162(投资者可依据该编码在中国理财网www.chinawealth.com.cn查询理财产品相关信息）</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内部销售代码</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A份额：A32011</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B份额：A32012</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C份额：A32013</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理财期限</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10年（管理人有权提前终止或延期终止）</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销售区域</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全国</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币种</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人民币</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产品规模</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产品募集规模上限为1000亿元。理财产品管理人有权对上述规模上限根据实际业务需求进行调整。</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风险等级</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根据理财产品管理人对理财产品的内部风险评估，本理财产品风险等级为中低风险（本风险等级为管理人内部风险评估结果，仅供参考）。</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代销机构应当设置科学合理的理财产品风险评级的方式和方法，对理财产品进行评级；该产品通过代销机构渠道销售的，理财产品评级应当以代销机构最终披露的评级结果为准。</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发行对象</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符合相关法律法规、监管规定要求的，经销售机构的风险承受能力评估体系评定为适合的个人和机构投资者。</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A份额：A32011-以下代销机构客户：南京银行股份有限公司；</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B份额：A32012-</w:t>
            </w:r>
            <w:r>
              <w:rPr>
                <w:rFonts w:ascii="方正黑体_GBK" w:eastAsia="方正黑体_GBK" w:hAnsi="方正黑体_GBK" w:cs="方正黑体_GBK" w:hint="eastAsia"/>
                <w:kern w:val="0"/>
              </w:rPr>
              <w:t>南银理财直销客户</w:t>
            </w:r>
            <w:r>
              <w:rPr>
                <w:rFonts w:ascii="方正黑体_GBK" w:eastAsia="方正黑体_GBK" w:hAnsi="方正黑体_GBK" w:cs="方正黑体_GBK" w:hint="eastAsia"/>
              </w:rPr>
              <w:t>；</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C份额：A32013-以下代销机构客户：浙江网商银行股份有限公司、齐鲁银行股份有限公司、天津农村商业银行股份有限公司。</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投资起点金额、递增金额</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个人投资者起点金额1元人民币，以1元的整数倍递增；</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机构投资者起点金额1元人民币，以1元的整数倍递增；</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后续在符合监管政策规定的条件下，理财产品管理人有权对上述投资起点金额和递增金额进行调整,并在调整日前至少3个工作日进行信息披露。</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代销机构可根据其销售需要对投资起点金额、递增金额进行重新设定，投资者通过代销机构购买本理财产品的，以该代销机构最终披露的投资起点金额、递增金额为准。</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单个投资者持有金额上限</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个人投资者：最高持有金额1亿元；</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机构投资者：最高持有金额1亿元；</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注：1.管理人有权对上述单个投资者持有金额上限进行调整或取消，并在调整或取消前至少3个工作日公告。</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2.当投资者发起的最近一笔申购申请将导致投资者持有本理财产品的金额超过投资者持有金额上限时，销售机构或管理人有权拒绝投资者该笔申购申请，投资者需重新进行资金安排。3.投资者持有本理财产品的金额将随本理财产品单位净值的变动而变动，由此导致的投资者持有金额上限突破上述上限的情形除外。</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单一投资者持有比例上限</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本理财产品单一投资者持有的份额（含已确认和待确认的份额）不得超过本理财产品总份额的50%，管理人有权拒绝导致投资者持有份额突破前述50%比例限制的认申购申请。</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非因管理人主观因素导致突破上述50%比例限制的，在单一投资者持有比例降至50%以下之前，管理人不再接受该投资者对本理财产品的认申购申请。</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单日单户赎回份额上限</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单日单户赎回份额上限，是指单个投资者在最近一个产品开放日15：30（不含）至下一产品开放日15：30（含）之间发起的净赎回总份额上限。</w:t>
            </w:r>
          </w:p>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个人投资者单日单户赎回份额上限：1亿份；</w:t>
            </w:r>
          </w:p>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机构投资者单日单户赎回份额上限：1亿份；</w:t>
            </w:r>
          </w:p>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注：1.管理人有权对上述单日单户赎回份额上限进行调整或取消，并在调整或取消前至少3个工作日公告。</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kern w:val="0"/>
              </w:rPr>
              <w:t>2.当投资者发起的最近一笔赎回申请将导致投资者单日净赎回本理财产品的份额超过单日单户赎回份额上限时，销售机构或管理人有权在赎回时或确认时拒绝投资者该笔赎回申请，投资者需重新进行资金安排。</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募集期</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jc w:val="left"/>
              <w:rPr>
                <w:rFonts w:ascii="方正黑体_GBK" w:eastAsia="方正黑体_GBK" w:hAnsi="方正黑体_GBK" w:cs="方正黑体_GBK"/>
              </w:rPr>
            </w:pPr>
            <w:r>
              <w:rPr>
                <w:rFonts w:ascii="方正黑体_GBK" w:eastAsia="方正黑体_GBK" w:hAnsi="方正黑体_GBK" w:cs="方正黑体_GBK" w:hint="eastAsia"/>
              </w:rPr>
              <w:t>2023年8月15日9：00—2023年8月21日15:30（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认购份额计算</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认购份额=确认认购金额/1。（认购份额以去尾法保留两位小数）</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lastRenderedPageBreak/>
              <w:t>认购确认日</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同产品成立日</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产品成立日</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jc w:val="left"/>
              <w:rPr>
                <w:rFonts w:ascii="方正黑体_GBK" w:eastAsia="方正黑体_GBK" w:hAnsi="方正黑体_GBK" w:cs="方正黑体_GBK"/>
              </w:rPr>
            </w:pPr>
            <w:r>
              <w:rPr>
                <w:rFonts w:ascii="方正黑体_GBK" w:eastAsia="方正黑体_GBK" w:hAnsi="方正黑体_GBK" w:cs="方正黑体_GBK" w:hint="eastAsia"/>
                <w:color w:val="000000"/>
                <w:kern w:val="0"/>
                <w:lang w:bidi="ar"/>
              </w:rPr>
              <w:t>2023年8月22日</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产品存续期</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jc w:val="left"/>
              <w:rPr>
                <w:rFonts w:ascii="方正黑体_GBK" w:eastAsia="方正黑体_GBK" w:hAnsi="方正黑体_GBK" w:cs="方正黑体_GBK"/>
              </w:rPr>
            </w:pPr>
            <w:r>
              <w:rPr>
                <w:rFonts w:ascii="方正黑体_GBK" w:eastAsia="方正黑体_GBK" w:hAnsi="方正黑体_GBK" w:cs="方正黑体_GBK" w:hint="eastAsia"/>
                <w:color w:val="000000"/>
                <w:kern w:val="0"/>
                <w:lang w:bidi="ar"/>
              </w:rPr>
              <w:t>2023年8月22日</w:t>
            </w:r>
            <w:r>
              <w:rPr>
                <w:rFonts w:ascii="方正黑体_GBK" w:eastAsia="方正黑体_GBK" w:hAnsi="方正黑体_GBK" w:cs="方正黑体_GBK" w:hint="eastAsia"/>
              </w:rPr>
              <w:t>—实际到期日（若本理财产品未被提前终止或延期终止，则实际到期日即为名义到期日，存续期限10年；若本理财产品被提前终止或延期终止，则实际到期日为提前终止日或延期终止日。</w:t>
            </w:r>
            <w:r>
              <w:rPr>
                <w:rFonts w:ascii="方正黑体_GBK" w:eastAsia="方正黑体_GBK" w:hAnsi="方正黑体_GBK" w:cs="方正黑体_GBK" w:hint="eastAsia"/>
                <w:b/>
              </w:rPr>
              <w:t>理财产品管理人有权根据市场变化情况调整产品存续期，届时管理人将调整相关日期并进行信息披露。）</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名义到期日</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jc w:val="left"/>
              <w:rPr>
                <w:rFonts w:ascii="方正黑体_GBK" w:eastAsia="方正黑体_GBK" w:hAnsi="方正黑体_GBK" w:cs="方正黑体_GBK"/>
                <w:kern w:val="0"/>
              </w:rPr>
            </w:pPr>
            <w:r>
              <w:rPr>
                <w:rFonts w:ascii="方正黑体_GBK" w:eastAsia="方正黑体_GBK" w:hAnsi="方正黑体_GBK" w:cs="方正黑体_GBK" w:hint="eastAsia"/>
                <w:color w:val="000000"/>
                <w:kern w:val="0"/>
                <w:lang w:bidi="ar"/>
              </w:rPr>
              <w:t>2033年8月31日</w:t>
            </w:r>
            <w:r>
              <w:rPr>
                <w:rFonts w:ascii="方正黑体_GBK" w:eastAsia="方正黑体_GBK" w:hAnsi="方正黑体_GBK" w:cs="方正黑体_GBK" w:hint="eastAsia"/>
                <w:b/>
                <w:bCs/>
                <w:kern w:val="0"/>
              </w:rPr>
              <w:t>（如遇国家法定节假日，管理人可结合国家法定节假日安排进行调整，并进行信息披露）</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b/>
                <w:bCs/>
                <w:kern w:val="0"/>
              </w:rPr>
              <w:t>产品封闭期</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4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本理财产品募集成立后封闭运作7天（</w:t>
            </w:r>
            <w:r>
              <w:rPr>
                <w:rFonts w:ascii="方正黑体_GBK" w:eastAsia="方正黑体_GBK" w:hAnsi="方正黑体_GBK" w:cs="方正黑体_GBK" w:hint="eastAsia"/>
                <w:b/>
                <w:bCs/>
                <w:color w:val="000000"/>
                <w:kern w:val="0"/>
                <w:lang w:bidi="ar"/>
              </w:rPr>
              <w:t>2023年8月22日</w:t>
            </w:r>
            <w:r>
              <w:rPr>
                <w:rFonts w:ascii="方正黑体_GBK" w:eastAsia="方正黑体_GBK" w:hAnsi="方正黑体_GBK" w:cs="方正黑体_GBK" w:hint="eastAsia"/>
                <w:b/>
                <w:bCs/>
                <w:kern w:val="0"/>
              </w:rPr>
              <w:t>-</w:t>
            </w:r>
            <w:r>
              <w:rPr>
                <w:rFonts w:ascii="方正黑体_GBK" w:eastAsia="方正黑体_GBK" w:hAnsi="方正黑体_GBK" w:cs="方正黑体_GBK" w:hint="eastAsia"/>
                <w:b/>
                <w:bCs/>
                <w:color w:val="000000"/>
                <w:kern w:val="0"/>
                <w:lang w:bidi="ar"/>
              </w:rPr>
              <w:t>2023年8月28日</w:t>
            </w:r>
            <w:r>
              <w:rPr>
                <w:rFonts w:ascii="方正黑体_GBK" w:eastAsia="方正黑体_GBK" w:hAnsi="方正黑体_GBK" w:cs="方正黑体_GBK" w:hint="eastAsia"/>
                <w:b/>
                <w:bCs/>
                <w:kern w:val="0"/>
              </w:rPr>
              <w:t>），封闭期内不接受任何申购/赎回申请。</w:t>
            </w:r>
          </w:p>
          <w:p w:rsidR="00410864" w:rsidRDefault="006B59FA">
            <w:pPr>
              <w:widowControl/>
              <w:spacing w:line="240" w:lineRule="exact"/>
              <w:jc w:val="left"/>
              <w:rPr>
                <w:rFonts w:ascii="方正黑体_GBK" w:eastAsia="方正黑体_GBK" w:hAnsi="方正黑体_GBK" w:cs="方正黑体_GBK"/>
                <w:color w:val="000000"/>
                <w:kern w:val="0"/>
                <w:lang w:bidi="ar"/>
              </w:rPr>
            </w:pPr>
            <w:r>
              <w:rPr>
                <w:rFonts w:ascii="方正黑体_GBK" w:eastAsia="方正黑体_GBK" w:hAnsi="方正黑体_GBK" w:cs="方正黑体_GBK" w:hint="eastAsia"/>
                <w:b/>
                <w:bCs/>
                <w:kern w:val="0"/>
              </w:rPr>
              <w:t>注：产品成立后因开户等原因可能会导致短期内无法进行部分资产的投资运作，为减轻因此对投资者收益的影响，故设置封闭期。</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产品开放日</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rPr>
              <w:t>产品存续期内每周一至周五（指工作日），但不包括国家法定节假日、休息日和南银理财公告暂停开放的日期。</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申购规则</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rPr>
              <w:t>产品开放日15:30（含）前的申购于当日受理，其他时间的申购于下一产品开放日受理。</w:t>
            </w:r>
            <w:r>
              <w:rPr>
                <w:rFonts w:ascii="方正黑体_GBK" w:eastAsia="方正黑体_GBK" w:hAnsi="方正黑体_GBK" w:cs="方正黑体_GBK" w:hint="eastAsia"/>
              </w:rPr>
              <w:t>上述申购规则如下（系统批处理时间内无法操作）：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2665"/>
              <w:gridCol w:w="1881"/>
              <w:gridCol w:w="2273"/>
            </w:tblGrid>
            <w:tr w:rsidR="00410864">
              <w:trPr>
                <w:trHeight w:val="23"/>
              </w:trPr>
              <w:tc>
                <w:tcPr>
                  <w:tcW w:w="2665"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申购时间</w:t>
                  </w:r>
                </w:p>
              </w:tc>
              <w:tc>
                <w:tcPr>
                  <w:tcW w:w="1881"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申购受理日</w:t>
                  </w:r>
                </w:p>
              </w:tc>
              <w:tc>
                <w:tcPr>
                  <w:tcW w:w="2273"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份额运作起始日</w:t>
                  </w:r>
                </w:p>
              </w:tc>
            </w:tr>
            <w:tr w:rsidR="00410864">
              <w:trPr>
                <w:trHeight w:val="23"/>
              </w:trPr>
              <w:tc>
                <w:tcPr>
                  <w:tcW w:w="2665"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产品开放日：0:00-15:30（含）</w:t>
                  </w:r>
                </w:p>
              </w:tc>
              <w:tc>
                <w:tcPr>
                  <w:tcW w:w="1881"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当日</w:t>
                  </w:r>
                </w:p>
              </w:tc>
              <w:tc>
                <w:tcPr>
                  <w:tcW w:w="2273"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申购受理日下一产品开放日</w:t>
                  </w:r>
                </w:p>
              </w:tc>
            </w:tr>
            <w:tr w:rsidR="00410864">
              <w:trPr>
                <w:trHeight w:val="23"/>
              </w:trPr>
              <w:tc>
                <w:tcPr>
                  <w:tcW w:w="2665"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产品开放日：15:30（不含）-24:00或非产品开放日</w:t>
                  </w:r>
                </w:p>
              </w:tc>
              <w:tc>
                <w:tcPr>
                  <w:tcW w:w="1881"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下一产品开放日</w:t>
                  </w:r>
                </w:p>
              </w:tc>
              <w:tc>
                <w:tcPr>
                  <w:tcW w:w="2273"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申购受理日下一产品开放日</w:t>
                  </w:r>
                </w:p>
              </w:tc>
            </w:tr>
          </w:tbl>
          <w:p w:rsidR="00410864" w:rsidRDefault="00410864">
            <w:pPr>
              <w:spacing w:line="200" w:lineRule="exact"/>
              <w:rPr>
                <w:rFonts w:ascii="方正黑体_GBK" w:eastAsia="方正黑体_GBK" w:hAnsi="方正黑体_GBK" w:cs="方正黑体_GBK"/>
              </w:rPr>
            </w:pPr>
          </w:p>
          <w:p w:rsidR="00410864" w:rsidRDefault="006B59FA">
            <w:pPr>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rPr>
              <w:t>注</w:t>
            </w:r>
            <w:r>
              <w:rPr>
                <w:rFonts w:ascii="方正黑体_GBK" w:eastAsia="方正黑体_GBK" w:hAnsi="方正黑体_GBK" w:cs="方正黑体_GBK" w:hint="eastAsia"/>
              </w:rPr>
              <w:t>：</w:t>
            </w:r>
          </w:p>
          <w:p w:rsidR="00410864" w:rsidRDefault="006B59FA">
            <w:pPr>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color w:val="000000"/>
                <w:shd w:val="clear" w:color="auto" w:fill="F6F6F6"/>
              </w:rPr>
              <w:t>1.</w:t>
            </w:r>
            <w:r>
              <w:rPr>
                <w:rFonts w:ascii="方正黑体_GBK" w:eastAsia="方正黑体_GBK" w:hAnsi="方正黑体_GBK" w:cs="方正黑体_GBK" w:hint="eastAsia"/>
                <w:b/>
              </w:rPr>
              <w:t>申购受理日15:30（含）前可以撤销申购申请。</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2.产品开放日为产品存续期内每周一至周五（指工作日），但不包括国家法定节假日、休息日和南银理财公告暂停开放的日期。</w:t>
            </w:r>
            <w:r>
              <w:rPr>
                <w:rFonts w:ascii="方正黑体_GBK" w:eastAsia="方正黑体_GBK" w:hAnsi="方正黑体_GBK" w:cs="方正黑体_GBK" w:hint="eastAsia"/>
                <w:b/>
              </w:rPr>
              <w:t>系统批处理时间无法进行任何操作，届时系统将相应提示，系统批处理时间预计在0：00至3：00之间，如遇特殊情况延迟，敬请投资者注意。</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color w:val="000000"/>
                <w:kern w:val="0"/>
              </w:rPr>
            </w:pPr>
            <w:r>
              <w:rPr>
                <w:rFonts w:ascii="方正黑体_GBK" w:eastAsia="方正黑体_GBK" w:hAnsi="方正黑体_GBK" w:cs="方正黑体_GBK" w:hint="eastAsia"/>
                <w:kern w:val="0"/>
              </w:rPr>
              <w:t>申购份额计算</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申购份额=申购金额/申购确认日产品单位净值（申购确认日为申购受理日当日）（申购份额按去尾法保留两位小数）。</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color w:val="000000"/>
                <w:kern w:val="0"/>
              </w:rPr>
              <w:t>份额最低持有期</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7天</w:t>
            </w:r>
          </w:p>
          <w:p w:rsidR="00410864" w:rsidRDefault="006B59FA">
            <w:pPr>
              <w:widowControl/>
              <w:jc w:val="left"/>
              <w:rPr>
                <w:rFonts w:ascii="方正黑体_GBK" w:eastAsia="方正黑体_GBK" w:hAnsi="方正黑体_GBK" w:cs="方正黑体_GBK"/>
              </w:rPr>
            </w:pPr>
            <w:r>
              <w:rPr>
                <w:rFonts w:ascii="方正黑体_GBK" w:eastAsia="方正黑体_GBK" w:hAnsi="方正黑体_GBK" w:cs="方正黑体_GBK" w:hint="eastAsia"/>
              </w:rPr>
              <w:t>（认购份额从成立日起最低持有期为7天，</w:t>
            </w:r>
            <w:r>
              <w:rPr>
                <w:rFonts w:ascii="方正黑体_GBK" w:eastAsia="方正黑体_GBK" w:hAnsi="方正黑体_GBK" w:cs="方正黑体_GBK" w:hint="eastAsia"/>
                <w:color w:val="000000"/>
                <w:kern w:val="0"/>
                <w:lang w:bidi="ar"/>
              </w:rPr>
              <w:t>2023年8月28日</w:t>
            </w:r>
            <w:r>
              <w:rPr>
                <w:rFonts w:ascii="方正黑体_GBK" w:eastAsia="方正黑体_GBK" w:hAnsi="方正黑体_GBK" w:cs="方正黑体_GBK" w:hint="eastAsia"/>
              </w:rPr>
              <w:t>及之前不可提出赎回申请；申购份额从份额运作起始日起最低持有期为7天，7天以内不可提出赎回申请。）</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赎回规则</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rPr>
              <w:t>持有期7天以内的份额不可提出赎回申请。</w:t>
            </w:r>
          </w:p>
          <w:p w:rsidR="00410864" w:rsidRDefault="006B59FA">
            <w:pPr>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rPr>
              <w:t>持有满7天及以上的份额可在之后的每个产品开放日提出赎回申请，非巨额赎回时，产品开放日15:30（含）前的赎回于当日受理，其他时间的赎回于下一产品开放日受理，赎回款项将于份额运作终止日后5个工作日内到账</w:t>
            </w:r>
            <w:r>
              <w:rPr>
                <w:rFonts w:ascii="方正黑体_GBK" w:eastAsia="方正黑体_GBK" w:hAnsi="方正黑体_GBK" w:cs="方正黑体_GBK" w:hint="eastAsia"/>
              </w:rPr>
              <w:t>。上述赎回规则如下（系统批处理时间内无法操作）：</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firstRow="1" w:lastRow="0" w:firstColumn="1" w:lastColumn="0" w:noHBand="0" w:noVBand="1"/>
            </w:tblPr>
            <w:tblGrid>
              <w:gridCol w:w="1720"/>
              <w:gridCol w:w="1386"/>
              <w:gridCol w:w="2419"/>
              <w:gridCol w:w="1354"/>
            </w:tblGrid>
            <w:tr w:rsidR="00410864">
              <w:trPr>
                <w:trHeight w:val="23"/>
              </w:trPr>
              <w:tc>
                <w:tcPr>
                  <w:tcW w:w="1720"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赎回时间</w:t>
                  </w:r>
                </w:p>
              </w:tc>
              <w:tc>
                <w:tcPr>
                  <w:tcW w:w="1386"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赎回受理日</w:t>
                  </w:r>
                </w:p>
              </w:tc>
              <w:tc>
                <w:tcPr>
                  <w:tcW w:w="2419"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份额运作终止日</w:t>
                  </w:r>
                </w:p>
              </w:tc>
              <w:tc>
                <w:tcPr>
                  <w:tcW w:w="1354"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资金到账日</w:t>
                  </w:r>
                </w:p>
              </w:tc>
            </w:tr>
            <w:tr w:rsidR="00410864">
              <w:trPr>
                <w:trHeight w:val="23"/>
              </w:trPr>
              <w:tc>
                <w:tcPr>
                  <w:tcW w:w="1720"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份额持有满7天后的产品开放日：0:00-15:30（含）</w:t>
                  </w:r>
                </w:p>
              </w:tc>
              <w:tc>
                <w:tcPr>
                  <w:tcW w:w="1386"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当日</w:t>
                  </w:r>
                </w:p>
              </w:tc>
              <w:tc>
                <w:tcPr>
                  <w:tcW w:w="2419"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赎回受理日下一产品开放日</w:t>
                  </w:r>
                </w:p>
              </w:tc>
              <w:tc>
                <w:tcPr>
                  <w:tcW w:w="1354" w:type="dxa"/>
                  <w:vMerge w:val="restart"/>
                  <w:vAlign w:val="center"/>
                </w:tcPr>
                <w:p w:rsidR="00410864" w:rsidRDefault="006B59FA">
                  <w:pPr>
                    <w:jc w:val="center"/>
                    <w:rPr>
                      <w:rFonts w:ascii="方正黑体_GBK" w:eastAsia="方正黑体_GBK" w:hAnsi="方正黑体_GBK" w:cs="方正黑体_GBK"/>
                    </w:rPr>
                  </w:pPr>
                  <w:r>
                    <w:rPr>
                      <w:rFonts w:ascii="方正黑体_GBK" w:eastAsia="方正黑体_GBK" w:hAnsi="方正黑体_GBK" w:cs="方正黑体_GBK" w:hint="eastAsia"/>
                    </w:rPr>
                    <w:t>份额运作终止日后5个工作日内</w:t>
                  </w:r>
                </w:p>
              </w:tc>
            </w:tr>
            <w:tr w:rsidR="00410864">
              <w:trPr>
                <w:trHeight w:val="23"/>
              </w:trPr>
              <w:tc>
                <w:tcPr>
                  <w:tcW w:w="1720"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份额持有满7天后的产品开放日：15:30（不含）-24:00或非产品开放日</w:t>
                  </w:r>
                </w:p>
              </w:tc>
              <w:tc>
                <w:tcPr>
                  <w:tcW w:w="1386"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下一产品开放日</w:t>
                  </w:r>
                </w:p>
              </w:tc>
              <w:tc>
                <w:tcPr>
                  <w:tcW w:w="2419" w:type="dxa"/>
                </w:tcPr>
                <w:p w:rsidR="00410864" w:rsidRDefault="006B59FA">
                  <w:pPr>
                    <w:rPr>
                      <w:rFonts w:ascii="方正黑体_GBK" w:eastAsia="方正黑体_GBK" w:hAnsi="方正黑体_GBK" w:cs="方正黑体_GBK"/>
                    </w:rPr>
                  </w:pPr>
                  <w:r>
                    <w:rPr>
                      <w:rFonts w:ascii="方正黑体_GBK" w:eastAsia="方正黑体_GBK" w:hAnsi="方正黑体_GBK" w:cs="方正黑体_GBK" w:hint="eastAsia"/>
                    </w:rPr>
                    <w:t>赎回受理日下一产品开放日</w:t>
                  </w:r>
                </w:p>
              </w:tc>
              <w:tc>
                <w:tcPr>
                  <w:tcW w:w="1354" w:type="dxa"/>
                  <w:vMerge/>
                </w:tcPr>
                <w:p w:rsidR="00410864" w:rsidRDefault="00410864">
                  <w:pPr>
                    <w:rPr>
                      <w:rFonts w:ascii="方正黑体_GBK" w:eastAsia="方正黑体_GBK" w:hAnsi="方正黑体_GBK" w:cs="方正黑体_GBK"/>
                    </w:rPr>
                  </w:pPr>
                </w:p>
              </w:tc>
            </w:tr>
          </w:tbl>
          <w:p w:rsidR="00410864" w:rsidRDefault="00410864">
            <w:pPr>
              <w:spacing w:line="200" w:lineRule="exact"/>
              <w:jc w:val="left"/>
              <w:rPr>
                <w:rFonts w:ascii="方正黑体_GBK" w:eastAsia="方正黑体_GBK" w:hAnsi="方正黑体_GBK" w:cs="方正黑体_GBK"/>
                <w:b/>
              </w:rPr>
            </w:pPr>
          </w:p>
          <w:p w:rsidR="00410864" w:rsidRDefault="006B59FA">
            <w:pPr>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rPr>
              <w:t>注：</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1.</w:t>
            </w:r>
            <w:r>
              <w:rPr>
                <w:rFonts w:ascii="方正黑体_GBK" w:eastAsia="方正黑体_GBK" w:hAnsi="方正黑体_GBK" w:cs="方正黑体_GBK" w:hint="eastAsia"/>
                <w:b/>
              </w:rPr>
              <w:t>如投资者多次认申购本理财产品，其中持有满7天及以上的份额可提出赎回申请，持有期7天以内的份额不可提出赎回申请。</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color w:val="000000"/>
              </w:rPr>
              <w:t>2.</w:t>
            </w:r>
            <w:r>
              <w:rPr>
                <w:rFonts w:ascii="方正黑体_GBK" w:eastAsia="方正黑体_GBK" w:hAnsi="方正黑体_GBK" w:cs="方正黑体_GBK" w:hint="eastAsia"/>
                <w:b/>
              </w:rPr>
              <w:t>单个投资者的赎回遵循“先进先出”原则，即单个投资者先认/申购的份额先被赎回。</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b/>
              </w:rPr>
              <w:t>3.赎回受理日15:30（含）前可以撤销赎回申请。</w:t>
            </w:r>
          </w:p>
          <w:p w:rsidR="00410864" w:rsidRDefault="006B59FA">
            <w:pPr>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rPr>
              <w:t>4.</w:t>
            </w:r>
            <w:r>
              <w:rPr>
                <w:rFonts w:ascii="方正黑体_GBK" w:eastAsia="方正黑体_GBK" w:hAnsi="方正黑体_GBK" w:cs="方正黑体_GBK" w:hint="eastAsia"/>
              </w:rPr>
              <w:t>产品开放日为产品存续期内每周一至周五（指工作日），但不包括国家法定节假日、休息日和南银理财公告暂停开放的日期。</w:t>
            </w:r>
            <w:r>
              <w:rPr>
                <w:rFonts w:ascii="方正黑体_GBK" w:eastAsia="方正黑体_GBK" w:hAnsi="方正黑体_GBK" w:cs="方正黑体_GBK" w:hint="eastAsia"/>
                <w:b/>
              </w:rPr>
              <w:t>系统批处理时间无法进行任何操作，届时系统将相应提示，系统批处理时间预计在0：00至3：00之间，如遇特殊情况延迟，敬请投资者注意。</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b/>
              </w:rPr>
              <w:t>5.份额运作终止日至资金到账日间赎回款项不计任何收益。</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赎回金额计算</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赎回金额=赎回份额×赎回确认日产品单位净值（赎回确认日为赎回受理日当日）（赎回金额按去尾法保留两位小数）产品的赎回费、业绩报酬等费用（如有）将从赎回金额中扣除。</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lastRenderedPageBreak/>
              <w:t>收益分配</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当理财产品单位净值不低于1时，管理人可以根据实际情况进行收益分配，分配方式为现金分红，具体分配方案以信息披露为准（分配后理财产品净值不低于1）。</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产品到期后，理财产品管理人和代销机构将根据理财资金所投资资产实际运作情况向投资者分配到期款项。</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资金到账日</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分红资金（如有）、赎回资金、到期资金将于分红权益登记日（如有）、赎回确认日、实际到期日后5个工作日内划入投资者授权指定账户，分红权益登记日（如有）、赎回确认日、实际到期日后至投资者收益划到投资者授权指定账户之前不计任何收益。分红权益登记日指管理人确认投资者所持份额是否享受本次分红的日期。</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投资范围</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本理财产品募集的资金投资于以下金融资产和金融工具，包括但不限于：</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1.现金、银行存款、银行承兑汇票、同业存款、大额存单、同业存单、债券回购、货币基金等货币市场工具；</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国债、央票、企业债、金融债、政策性金融债、次级债、二级资本债、永续债、资产支持证券、资产支持票据、地方政府债、中期票据、超短期融资券、短期融资券、公司债、可转债、可交债、非公开定向债务融资工具(PPN)、公募债券型证券投资基金等标准化债权类资产；</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3.公开募集基础设施证券投资基金等符合监管要求的公募证券投资基金；</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4.投资范围为上述资产的信托计划、资产管理计划等资产管理产品；</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5.法律法规或监管机构允许投资的符合本理财产品投资性质的其他金融工具；</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6.如存在法律法规或监管机构以后允许投资的其他品种或法律法规或监管政策出现调整，管理人在履行本理财产品销售文件规定的适当程序后，有权调整以上品种。</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投资比例</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本理财产品投资于固定收益类资产的比例不低于本理财产品总资产的80%。</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注：非因管理人主观因素导致突破上述比例限制的，管理人将在流动性受限资产可出售、可转让或者恢复交易的15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投资策略</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通过对宏观经济、政策环境、市场状况和资金供求的深入分析，对债券资产行业和品种的深入分析，自上而下进行积极主动的配置，构建合理的投资组合方案。力争控制回撤幅度，追求稳健的投资回报。</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bCs/>
                <w:kern w:val="0"/>
              </w:rPr>
              <w:t>业绩比较基准</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本理财产品的业绩比较基准为年化2.3%-3.3%。</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业绩比较基准是管理人基于过往投资经验、对产品存续期拟投资标的和相应投资市场波动的预判设定的投资目标。本理财产品投资于固定收益类资产的比例不低于总资产的80%。结合债券市场的收益和波动水平预判，在本理财产品约定的投资策略基础上，管理人设定了本理财产品投资周期内业绩比较基准。</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b/>
              </w:rPr>
              <w:t>本理财产品为净值型理财产品，业绩比较基准不是预期收益率，不代表产品的未来表现和实际收益，不构成对产品收益的承诺。</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bCs/>
                <w:kern w:val="0"/>
              </w:rPr>
            </w:pPr>
            <w:r>
              <w:rPr>
                <w:rFonts w:ascii="方正黑体_GBK" w:eastAsia="方正黑体_GBK" w:hAnsi="方正黑体_GBK" w:cs="方正黑体_GBK" w:hint="eastAsia"/>
                <w:kern w:val="0"/>
              </w:rPr>
              <w:t>产品费用</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申购费：本理财产品暂不收取申购费。</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赎回费：本理财产品暂不收取赎回费。</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销售费：本理财产品按前一日理财产品资产净值收取年化0.2%的销售费，按日计提。</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每日计提的销售费=前一日本理财产品资产净值×年化销售费率÷365</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固定管理费：本理财产品按前一日理财产品资产净值收取年化0.4%的固定管理费，按日计提。</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每日计提的固定管理费=前一日本理财产品资产净值×年化固定管理费率÷365</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托管费：本理财产品按前一日理财产品资产净值收取年化0.02%的托管费，按日计提。</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每日计提的托管费=前一日本理财产品资产净值×年化托管费率÷365</w:t>
            </w:r>
          </w:p>
          <w:p w:rsidR="00410864" w:rsidRDefault="006B59FA">
            <w:pPr>
              <w:widowControl/>
              <w:spacing w:line="200" w:lineRule="exact"/>
              <w:jc w:val="left"/>
              <w:rPr>
                <w:rFonts w:ascii="方正黑体_GBK" w:eastAsia="方正黑体_GBK" w:hAnsi="方正黑体_GBK" w:cs="方正黑体_GBK"/>
                <w:b/>
                <w:bCs/>
                <w:kern w:val="0"/>
              </w:rPr>
            </w:pPr>
            <w:r>
              <w:rPr>
                <w:rFonts w:ascii="方正黑体_GBK" w:eastAsia="方正黑体_GBK" w:hAnsi="方正黑体_GBK" w:cs="方正黑体_GBK" w:hint="eastAsia"/>
                <w:b/>
                <w:bCs/>
                <w:kern w:val="0"/>
              </w:rPr>
              <w:t>注：投资者份额持有期间年化收益率=（赎回确认日产品累计净值或实际到期日前一产品开放日产品累计净值-申购确认日产品累计净值）÷申购确认日产品单位净值÷投资者份额实际持有天数×365天。投资者份额实际持有天数为份额运作起始日（含）至份额运作终止日（不含）之间的天数。</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bCs/>
                <w:kern w:val="0"/>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风险事件说明</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具体详见本理财产品风险揭示书。</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的拟投资市场主要为全国银行间债券市场、证券交易所等流动性较好的规范型交易场所，主要拟投资资产为具有良好流动性的金融工具，一般情况下，所投资资产市场流动性较好，但不排除在特定阶段、特定市场环境下特定投资标的出现流动性较差的情况。因此，本产品所投资资产可能存在以下流动性风险：</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一是建仓或进行组合调整时，若投资资产包括债券或基金，可能由于特定债券或基金的流动性相对不足而无法按预期的价格买进（申购）或卖出（赎回）；</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二是为应对投资者的赎回，被迫以不适当的价格卖出债券或赎回基金；</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三是若投资资产包括非标准化债权类资产，可能由于资产缺少流动性而难以变现。</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以上情形均可能使产品净值受到不利影响。</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理财产品管理人及管理人职责</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管理人为南银理财有限责任公司，南银理财系南京银行股份有限公司全资控股的银行理财子公司。南银理财成立于2020年8月，专业从事理财产品发行、投资管理、理财顾问和咨询服务等业务，注册资本金20 亿元人民币。管理人主要职责如下：</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1.按照法律法规、监管规定及理财产品销售文件的约定，发行并管理理财产品；</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2.根据理财产品的投资组合、同类产品过往业绩和风险状况等因素，对理财产品进行评级；</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3.按照法律法规、监管规定及与投资者约定的信息披露渠道及时披露理财产品相关信息；</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4.按照理财产品销售文件约定的投资范围和权限，负责理财产品资金的运用和管理，向投资者进行收益分配；</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5.审慎选择理财产品销售机构，切实履行对销售机构的管理责任；</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6.根据法律法规、监管规定建立健全投资者权益保护管理体系；</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lastRenderedPageBreak/>
              <w:t>7.国务院银行业监督管理机构规定及本理财产品销售文件中约定的其他职责。</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lastRenderedPageBreak/>
              <w:t>销售机构及销售机构职责</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本理财产品销售机构为南银理财有限责任公司、南京银行股份有限公司、浙江网商银行股份有限公司、齐鲁银行股份有限公司、天津农村商业银行股份有限公司。</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管理人有权调整本理财产品的销售机构并进行信息披露。</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销售机构主要职责如下：</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1.按照法律法规、监管规定及理财产品销售文件的约定，开展理财产品销售活动，向投资者充分披露信息和揭示风险；</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2.对非机构投资者的风险承受能力进行评估，确保投资者风险承受能力评估的客观性、及时性和有效性；</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3.妥善保管投资者理财产品销售材料，保管年限不低于20年；</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4.根据反洗钱、反恐怖融资及非居民金融账户涉税信息尽职调查等相关法律法规要求识别客户身份；</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5.建立健全投资者权益保护管理体系，加强投资者适当性管理；</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6.国务院银行业监督管理机构规定及本理财产品管理人与销售机构约定的其他职责。</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托管人及托管人职责</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本理财产品托管人为南京银行股份有限公司，主要职责如下：</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1、安全保管理财产品财产；</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2、为每只理财产品开设独立的托管账户，不同托管账户中的资产应当相互独立；</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3、按照托管协议约定和管理人的投资指令，及时办理清算、交割事宜；</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4、建立与管理人的对账机制，复核、审查理财产品资金头寸、资产账目、资产净值、认购和赎回价格等数据，及时核查认购、赎回以及投资资金的支付和到账情况；</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5、监督理财产品投资运作，发现理财产品违反法律、行政法规、规章规定或合同约定进行投资的，应当拒绝执行，及时通知管理人并报告银行业监督管理机构；</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6、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7、理财托管业务活动的记录、账册、报表和其他相关资料保存20年以上；</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8、对理财产品投资信息和相关资料承担保密责任，除法律、行政法规、规章规定、审计要求或者合同约定外，不得向任何机构或者个人提供相关信息和资料；</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9、国务院银行业监督管理机构规定及本理财产品相关托管协议中约定的其他职责。</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拟进行合作的理财投资合作机构</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合作机构为华润深国投信托有限公司、江苏省国际信托有限责任公司、平安资产管理有限责任公司、泰康资产管理有限责任公司、鑫元基金管理有限公司、鑫沅资产管理有限公司、太平洋资产管理有限责任公司、中粮信托有限责任公司。</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上述投资合作机构为理财产品受托投资的机构，主要承担根据合同约定进行受托资金的投资管理的职责，具体职责以管理人与投资合作机构签署的合同为准。</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若上述合作机构及其职责发生调整，管理人将在本理财产品的定期报告中进行信息披露。</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上述投资合作机构简介：</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华润深国投信托有限公司成立于1982年8月24日，注册资本金110亿元。</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江苏省国际信托有限责任公司成立于1992年06月01日，注册资本金87.60亿元。</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平安资产管理有限责任公司成立于2005年05月27日，注册资本金15亿元。</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泰康资产管理有限责任公司成立于2006年02月21日，注册资本金10亿元。</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鑫元基金管理有限公司成立于2013年08月29日，注册资本金17亿元。</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鑫沅资产管理有限公司成立于2014年02月19日，注册资本金15.5亿元。</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太平洋资产管理有限责任公司成立于2006年6月9日，注册资本金21亿元。</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中粮信托有限责任公司成立于2009年7月27日，注册资本金28.3亿元。</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巨额赎回情形及处理</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本理财产品单个开放日净赎回申请超过前一产品工作日日终本理财产品总份额的 10%时，触发巨额赎回，</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在赎回确认日管理人办理的赎回份额将不低于前一产品工作日日终理财产品总份额的 10%。</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本理财产品在开放日发生巨额赎回时，管理人有权根据产品的实际运作情况采取如下措施中的一种：</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接受部分赎回：当管理人认为兑付投资者的赎回申请有困难，或认为兑付投资者的赎回申请可能会对本理财产品的资产净值造成较大波动时，在赎回确认日管理人办理的赎回份额将不低于前一产品工作日日终理财产品总份额的 10%，并按单个投资者的赎回申请份额占当日所有投资者的净赎回申请总份额的比例，确认该投资者当日办理的赎回申请份额，对于其余赎回申请管理人可暂停接受或延期办理。</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（1）投资者在申请赎回时可选择将当日未获办理部分予以撤销，即暂停接受情形，管理人将拒绝该部分赎回申请，撤销的部分投资者可在下一个产品开放日再次发起赎回申请。</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投资者未选择撤销的，即延期办理情形，管理人或销售机构将在下一个产品开放日自动为投资者发起该部分的赎回，赎回净值为下一个产品开放日的净值，直至该部分全部被确认。在延期办理的部分全部被确认前，投资者不可撤销该部分的赎回申请。</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具体服务投资者可详询代销机构，最终以代销机构提供的服务为准。</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2.接受全额赎回：当管理人认为有能力兑付投资者的全部赎回申请时，将在赎回确认日按正常赎回程序执行。</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本理财产品发生巨额赎回、管理人接受部分赎回时，对于暂停接受和延期办理的部分，管理人可能需在下一个申购或赎回开放日才可确认，可能影响投资者的资金安排。</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连续巨额赎回</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当本理财产品连续2个以上开放日发生巨额赎回时，除采取上述措施外，对于已经接受的赎回申请，管理人有权延缓支付赎回款项，但延缓期限不得超过20个工作日。此种情况下，管理人将在3个交易日内进行信息披露，投资者需重新进行资金安排。</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t>暂停认申购的情形及处理</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发生下列情形时，管理人可暂停接受认申购申请：</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1.因不可抗力导致理财产品无法正常运作；</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2.因监管政策、市场发生重大变化，导致理财产品无法正常运作；</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3.管理人认为需要暂停认申购的其他情形。</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若管理人暂停接受认申购申请，将在3个交易日内告知该理财产品的投资者，并说明运用相关措施的原因、拟采取的应对安排等。</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在暂停接受认申购申请期间，投资者需重新进行资金安排。</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rPr>
              <w:lastRenderedPageBreak/>
              <w:t>暂停赎回的情形及处理</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发生下列情形时，管理人可暂停接受投资者的赎回申请：</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1.因不可抗力导致管理人不能支付赎回款项。</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2.银行间市场或证券交易所交易时间非正常停市，导致管理人无法计算当日理财产品资产净值。</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3.管理人、法律法规规定或监管认定的其他情形。</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若管理人暂停接受赎回申请，将在3个交易日内告知该理财产品的投资者，并说明运用相关措施的原因、拟采取的应对安排等。</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rPr>
              <w:t>在暂停接受赎回申请期间，投资者将无法获得赎回资金，需重新进行资金安排。</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其他说明事项</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1.</w:t>
            </w:r>
            <w:r>
              <w:rPr>
                <w:rFonts w:ascii="方正黑体_GBK" w:eastAsia="方正黑体_GBK" w:hAnsi="方正黑体_GBK" w:cs="方正黑体_GBK" w:hint="eastAsia"/>
                <w:b/>
                <w:bCs/>
                <w:kern w:val="0"/>
              </w:rPr>
              <w:t>持有期7天以内的份额不可提出赎回申请</w:t>
            </w:r>
            <w:r>
              <w:rPr>
                <w:rFonts w:ascii="方正黑体_GBK" w:eastAsia="方正黑体_GBK" w:hAnsi="方正黑体_GBK" w:cs="方正黑体_GBK" w:hint="eastAsia"/>
                <w:kern w:val="0"/>
              </w:rPr>
              <w:t>，投资者应考虑产品最低持有期限并合理安排自身投资计划。</w:t>
            </w:r>
          </w:p>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2.管理人在本理财产品存续期间按照监管规定进行信息披露，详见本理财产品说明书第五条信息披露。</w:t>
            </w:r>
          </w:p>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b/>
                <w:bCs/>
                <w:kern w:val="0"/>
              </w:rPr>
              <w:t>3.本理财产品投资的资产管理产品的业绩报酬、赎回费等的提取（如有）可能造成本理财产品净值的下降。</w:t>
            </w:r>
          </w:p>
        </w:tc>
      </w:tr>
      <w:tr w:rsidR="00410864">
        <w:trPr>
          <w:trHeight w:val="23"/>
          <w:jc w:val="center"/>
        </w:trPr>
        <w:tc>
          <w:tcPr>
            <w:tcW w:w="1824" w:type="dxa"/>
            <w:tcBorders>
              <w:top w:val="single" w:sz="4" w:space="0" w:color="auto"/>
              <w:left w:val="single" w:sz="4" w:space="0" w:color="auto"/>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kern w:val="0"/>
              </w:rPr>
            </w:pPr>
            <w:r>
              <w:rPr>
                <w:rFonts w:ascii="方正黑体_GBK" w:eastAsia="方正黑体_GBK" w:hAnsi="方正黑体_GBK" w:cs="方正黑体_GBK" w:hint="eastAsia"/>
                <w:kern w:val="0"/>
              </w:rPr>
              <w:t>税务处理</w:t>
            </w:r>
          </w:p>
        </w:tc>
        <w:tc>
          <w:tcPr>
            <w:tcW w:w="8275" w:type="dxa"/>
            <w:tcBorders>
              <w:top w:val="single" w:sz="4" w:space="0" w:color="auto"/>
              <w:left w:val="nil"/>
              <w:bottom w:val="single" w:sz="4" w:space="0" w:color="auto"/>
              <w:right w:val="single" w:sz="4" w:space="0" w:color="auto"/>
              <w:tl2br w:val="nil"/>
              <w:tr2bl w:val="nil"/>
            </w:tcBorders>
            <w:vAlign w:val="center"/>
          </w:tcPr>
          <w:p w:rsidR="00410864" w:rsidRDefault="006B59FA">
            <w:pPr>
              <w:widowControl/>
              <w:spacing w:line="200" w:lineRule="exact"/>
              <w:jc w:val="left"/>
              <w:rPr>
                <w:rFonts w:ascii="方正黑体_GBK" w:eastAsia="方正黑体_GBK" w:hAnsi="方正黑体_GBK" w:cs="方正黑体_GBK"/>
              </w:rPr>
            </w:pPr>
            <w:r>
              <w:rPr>
                <w:rFonts w:ascii="方正黑体_GBK" w:eastAsia="方正黑体_GBK" w:hAnsi="方正黑体_GBK" w:cs="方正黑体_GBK" w:hint="eastAsia"/>
                <w:kern w:val="0"/>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410864" w:rsidRDefault="006B59FA">
      <w:pPr>
        <w:rPr>
          <w:rFonts w:ascii="方正黑体_GBK" w:eastAsia="方正黑体_GBK" w:hAnsi="方正黑体_GBK" w:cs="方正黑体_GBK"/>
          <w:b/>
          <w:sz w:val="15"/>
          <w:szCs w:val="15"/>
        </w:rPr>
      </w:pPr>
      <w:r>
        <w:rPr>
          <w:rFonts w:ascii="方正黑体_GBK" w:eastAsia="方正黑体_GBK" w:hAnsi="方正黑体_GBK" w:cs="方正黑体_GBK" w:hint="eastAsia"/>
          <w:b/>
          <w:sz w:val="15"/>
          <w:szCs w:val="15"/>
        </w:rPr>
        <w:t>特别说明：本理财产品无预期收益率，</w:t>
      </w:r>
      <w:r>
        <w:rPr>
          <w:rFonts w:ascii="方正黑体_GBK" w:eastAsia="方正黑体_GBK" w:hAnsi="方正黑体_GBK" w:cs="方正黑体_GBK" w:hint="eastAsia"/>
          <w:b/>
          <w:sz w:val="15"/>
          <w:szCs w:val="15"/>
          <w:u w:val="single"/>
        </w:rPr>
        <w:t>理财产品过往业绩不代表其未来表现，不等于理财产品实际收益，</w:t>
      </w:r>
      <w:r>
        <w:rPr>
          <w:rFonts w:ascii="方正黑体_GBK" w:eastAsia="方正黑体_GBK" w:hAnsi="方正黑体_GBK" w:cs="方正黑体_GBK" w:hint="eastAsia"/>
          <w:b/>
          <w:sz w:val="15"/>
          <w:szCs w:val="15"/>
        </w:rPr>
        <w:t>投资须谨慎。</w:t>
      </w:r>
    </w:p>
    <w:p w:rsidR="00410864" w:rsidRDefault="006B59FA">
      <w:pPr>
        <w:pStyle w:val="Normal2a0e2cb9"/>
        <w:widowControl/>
        <w:spacing w:line="200" w:lineRule="exact"/>
        <w:outlineLvl w:val="0"/>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第二条  名词释义</w:t>
      </w:r>
    </w:p>
    <w:p w:rsidR="00410864" w:rsidRDefault="006B59FA">
      <w:pPr>
        <w:pStyle w:val="Normal2a0e2cb9"/>
        <w:widowControl/>
        <w:spacing w:line="200" w:lineRule="exact"/>
        <w:ind w:firstLine="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在本理财产品说明书中，除非上下文另有明确约定，下列用词将具有如下含义：</w:t>
      </w:r>
    </w:p>
    <w:p w:rsidR="00410864" w:rsidRDefault="006B59FA">
      <w:pPr>
        <w:pStyle w:val="Normal2a0e2cb9"/>
        <w:widowControl/>
        <w:numPr>
          <w:ilvl w:val="0"/>
          <w:numId w:val="1"/>
        </w:numPr>
        <w:spacing w:line="200" w:lineRule="exact"/>
        <w:ind w:left="0" w:firstLine="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参与主体用语</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1.南银理财/管理人/产品管理人/理财产品管理人：指南银理财有限责任公司。</w:t>
      </w:r>
    </w:p>
    <w:p w:rsidR="00410864" w:rsidRDefault="006B59FA">
      <w:pPr>
        <w:pStyle w:val="Normal2a0e2cb9"/>
        <w:widowControl/>
        <w:tabs>
          <w:tab w:val="left" w:pos="567"/>
        </w:tabs>
        <w:spacing w:line="200" w:lineRule="exact"/>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2.销售机构：指本理财产品的销售机构，包括销售本公司发行理财产品的理财公司即南银理财，以及接受南银理财委托销售其发行理财产品的代理销售机构（代销机构）。</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3.托管人：指根据管理人委托，对理财产品财产进行托管的机构。</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4.认购/申购人：指在募集期/开放期期间签署本理财产品销售文件并向理财产品管理人交付认购/申购资金的投资者。</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5.理财产品份额持有人/持有人：指其认购或申购申请，经过管理人确认认购或申购成功，从而持有理财产品份额的投资者。</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6.投资者：指购买南银理财发行的相关理财产品的符合相关法律法规及监管要求的个人或机构。</w:t>
      </w:r>
    </w:p>
    <w:p w:rsidR="00410864" w:rsidRDefault="006B59FA">
      <w:pPr>
        <w:pStyle w:val="Normal2a0e2cb9"/>
        <w:widowControl/>
        <w:numPr>
          <w:ilvl w:val="0"/>
          <w:numId w:val="1"/>
        </w:numPr>
        <w:spacing w:line="200" w:lineRule="exact"/>
        <w:ind w:left="0" w:firstLine="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法律文件用语</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1.销售协议书：指本理财产品对应的《理财产品销售协议书》以及对该文件的有效修改或补充。</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2.产品说明书/本理财产品说明书：指本《理财产品说明书》以及对该文件的有效修改或补充。</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3.风险揭示书：指本理财产品对应的《理财产品风险揭示书》以及对该文件的有效修改或补充。</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4.投资者权益须知：指本理财产品对应的《投资者权益须知》以及对该文件的有效修改或补充。</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5.投资协议书：指本理财产品对应的《理财产品投资协议书》以及对该文件的有效修改或补充。</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6.销售文件：指本理财产品对应的产品说明书、风险揭示书、投资者权益须知、销售协议书、投资协议书等。</w:t>
      </w:r>
      <w:r>
        <w:rPr>
          <w:rFonts w:ascii="方正黑体_GBK" w:eastAsia="方正黑体_GBK" w:hAnsi="方正黑体_GBK" w:cs="方正黑体_GBK" w:hint="eastAsia"/>
          <w:bCs/>
          <w:color w:val="3D3D3D"/>
          <w:kern w:val="0"/>
          <w:sz w:val="15"/>
          <w:szCs w:val="15"/>
        </w:rPr>
        <w:t>上述文件共同构成本理财产品完整且不可分割的销售文件。</w:t>
      </w:r>
    </w:p>
    <w:p w:rsidR="00410864" w:rsidRDefault="006B59FA">
      <w:pPr>
        <w:pStyle w:val="Normal2a0e2cb9"/>
        <w:widowControl/>
        <w:numPr>
          <w:ilvl w:val="0"/>
          <w:numId w:val="1"/>
        </w:numPr>
        <w:spacing w:line="200" w:lineRule="exact"/>
        <w:ind w:left="0" w:firstLine="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期间与日期</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1.募集期：指管理人确定的接受投资者认购本理财产品的起止期限。</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2.开放期：指管理人确定的除募集期外接受投资者申购、赎回本理财产品的起止期限。</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3.提前终止权行使日：指管理人行使提前终止权的日期，即本理财产品被提前终止、开始停止计算收益的日期。</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4.延期终止日：指管理人根据本理财产品说明书约定延长理财产品存续期后本理财产品的终止日，即本理财产品被延期终止、开始停止计算收益的日期。</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5.认购、申购、赎回确认日：指投资者认购、申购、赎回理财产品最终确认日期。</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6.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7.产品存续期：指理财产品成立至终止的期间。</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8.名义到期日：指在管理人未对本理财产品提前终止或延期终止的情况下本理财产品的到期日期。</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9.到期日/终止日：指管理人实际开始停止计算本理财产品收益的日期。若本理财产品未提前终止或延期终止，则到期日/终止日即为名义到期日；若本理财产品被提前终止，则到期日/终止日为提前终止权行使日；若本理财产品被延期终止，则到期日/终止日为延期终止日。</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10.工作日：指除国家法定节假日和休息日（包括周六、周日）外的日期。</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11.交易日：指上海证券交易所和深圳证券交易所的正常开盘交易日。</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12.支付日：指根据本理财产品说明书约定向销售文件约定的投资者授权指定账户划付理财产品资金之日。</w:t>
      </w:r>
    </w:p>
    <w:p w:rsidR="00410864" w:rsidRDefault="006B59FA">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13.赎回或到期清算分配资金到账日：指赎回或到期清算分配资金划入销售文件约定的投资者授权指定账户之日。</w:t>
      </w:r>
    </w:p>
    <w:p w:rsidR="00410864" w:rsidRDefault="006B59FA">
      <w:pPr>
        <w:pStyle w:val="Normal2a0e2cb9"/>
        <w:widowControl/>
        <w:numPr>
          <w:ilvl w:val="0"/>
          <w:numId w:val="1"/>
        </w:numPr>
        <w:spacing w:line="200" w:lineRule="exact"/>
        <w:ind w:left="0" w:firstLine="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理财产品用语</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1.本理财产品/理财产品： </w:t>
      </w:r>
      <w:r>
        <w:rPr>
          <w:rFonts w:ascii="方正黑体_GBK" w:eastAsia="方正黑体_GBK" w:hAnsi="方正黑体_GBK" w:cs="方正黑体_GBK" w:hint="eastAsia"/>
          <w:b/>
          <w:bCs/>
          <w:color w:val="3D3D3D"/>
          <w:kern w:val="0"/>
          <w:sz w:val="15"/>
          <w:szCs w:val="15"/>
        </w:rPr>
        <w:t>南银理财鼎瑞悦稳（最低持有7天）公募人民币理财产品</w:t>
      </w:r>
      <w:r>
        <w:rPr>
          <w:rFonts w:ascii="方正黑体_GBK" w:eastAsia="方正黑体_GBK" w:hAnsi="方正黑体_GBK" w:cs="方正黑体_GBK" w:hint="eastAsia"/>
          <w:color w:val="3D3D3D"/>
          <w:kern w:val="0"/>
          <w:sz w:val="15"/>
          <w:szCs w:val="15"/>
        </w:rPr>
        <w:t>。</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2认购金额/申购金额/投资本金：指投资者认购或申购本理财产品的本金金额。为避免疑义，认购金额/申购金额/投资本金的称谓仅为方便计算理财产品投资收益而创设的，并非对投资者投资本金不受损失的承诺。</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3.投资收益：指投资者投资理财产品份额获得的投资收益，该收益为其获得分配的全部理财产品赎回资金或到期清算分配资金中扣除投资本金的部分。</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4.理财产品份额/产品份额：指投资者持有本理财产品的单位数额。投资者基于其所持有的理财产品单位数额享有理财产品利益、承担理财产品风险。</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5.产品资产净值=产品资产总值-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6.单位净值/产品每份额净值：指理财产品每单位份额的净值，即每1份理财产品份额以人民币计价的价格。产品份额净值=产品资产净值/产品总份额。投资者按该份额净值进行理财产品认购、申购和赎回、获得到期/终止时分配。产品份额净值按去尾法保留6位小数。</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7.累计净值： 指产品单位净值与产品成立以来累计单位分红金额之和。</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8.理财产品估值/估值：指计算评估理财产品资产以确定理财产品份额单位净值的过程。</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9.业绩比较基准：指管理人基于产品性质、投资策略、过往投资经验及对产品存续期投资市场波动的预判而对本理财产品所设定的投资目标，业绩比较基准不代表本理财产品的未来表现和实际收益，不构成管理人对本理财产品收益的承诺。</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10.认购：指投资者根据产品说明书约定在募集期内申请购买本理财产品的理财产品份额的行为。</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11.申购、赎回申请：指在理财产品的开放期内，投资者向理财产品管理人提出申请对理财产品份额进行购买或卖出的行为。</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12.提前终止/延期终止权：指在本理财产品存续期内，管理人单方面根据本理财产品销售文件的约定提前终止/延期终止本理财产品的权利。</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13.授权指定账户：指投资者用于支付理财产品的认购或申购资金，并用于接收理财产品分红或赎回或到期清算分配款项的银行账户。</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14.固定收益类理财产品：指投资于存款、债券等债权类资产的比例不低于80%的理财产品。</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15.权益类理财产品：指投资于权益类资产的比例不低于80%的理财产品。</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16.商品及金融衍生品类理财产品：指投资于商品及金融衍生品的比例不低于80%的理财产品。</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17.混合类理财产品：指投资于债权类资产、权益类资产、商品及金融衍生品类资产且任一资产的投资比例均未达到80%的理财产品。</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lastRenderedPageBreak/>
        <w:t xml:space="preserve"> 18.公募理财产品：指面向不特定社会公众公开发行的理财产品。</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19.私募理财产品：指面向合格投资者非公开发行的理财产品。</w:t>
      </w:r>
    </w:p>
    <w:p w:rsidR="00410864" w:rsidRDefault="00410864">
      <w:pPr>
        <w:pStyle w:val="Normal2a0e2cb9"/>
        <w:widowControl/>
        <w:tabs>
          <w:tab w:val="left" w:pos="567"/>
        </w:tabs>
        <w:spacing w:line="200" w:lineRule="exact"/>
        <w:ind w:left="289"/>
        <w:outlineLvl w:val="1"/>
        <w:rPr>
          <w:rFonts w:ascii="方正黑体_GBK" w:eastAsia="方正黑体_GBK" w:hAnsi="方正黑体_GBK" w:cs="方正黑体_GBK"/>
          <w:color w:val="3D3D3D"/>
          <w:kern w:val="0"/>
          <w:sz w:val="15"/>
          <w:szCs w:val="15"/>
        </w:rPr>
      </w:pPr>
    </w:p>
    <w:p w:rsidR="00410864" w:rsidRDefault="006B59FA">
      <w:pPr>
        <w:pStyle w:val="Normal2a0e2cb9"/>
        <w:widowControl/>
        <w:numPr>
          <w:ilvl w:val="0"/>
          <w:numId w:val="1"/>
        </w:numPr>
        <w:spacing w:line="200" w:lineRule="exact"/>
        <w:ind w:left="0" w:firstLine="289"/>
        <w:outlineLvl w:val="1"/>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其他</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1.不可抗力：指理财产品各方不能预见、不能避免且不能克服的客观情况，该事件妨碍、影响或延误任何一方依相关理财产品销售文件的约定履行其全部或部分义务。该事件包括但不限于：</w:t>
      </w:r>
    </w:p>
    <w:p w:rsidR="00410864" w:rsidRDefault="006B59FA">
      <w:pPr>
        <w:pStyle w:val="1dd8a4702"/>
        <w:widowControl/>
        <w:numPr>
          <w:ilvl w:val="0"/>
          <w:numId w:val="2"/>
        </w:numPr>
        <w:tabs>
          <w:tab w:val="left" w:pos="567"/>
        </w:tabs>
        <w:spacing w:line="200" w:lineRule="exact"/>
        <w:ind w:firstLineChars="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自然灾害、地震、台风、海啸、洪水、火灾、停电、突发性公共卫生事件；</w:t>
      </w:r>
    </w:p>
    <w:p w:rsidR="00410864" w:rsidRDefault="006B59FA">
      <w:pPr>
        <w:pStyle w:val="1dd8a4702"/>
        <w:widowControl/>
        <w:numPr>
          <w:ilvl w:val="0"/>
          <w:numId w:val="2"/>
        </w:numPr>
        <w:tabs>
          <w:tab w:val="left" w:pos="567"/>
        </w:tabs>
        <w:spacing w:line="200" w:lineRule="exact"/>
        <w:ind w:firstLineChars="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罢工、内战、战争、军事行动、任何种类的恐怖活动、暴动、公众示威或抗议；</w:t>
      </w:r>
    </w:p>
    <w:p w:rsidR="00410864" w:rsidRDefault="006B59FA">
      <w:pPr>
        <w:pStyle w:val="1dd8a4702"/>
        <w:widowControl/>
        <w:numPr>
          <w:ilvl w:val="0"/>
          <w:numId w:val="2"/>
        </w:numPr>
        <w:tabs>
          <w:tab w:val="left" w:pos="567"/>
        </w:tabs>
        <w:spacing w:line="200" w:lineRule="exact"/>
        <w:ind w:firstLineChars="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新的适用法律或国家政策的颁布或实施、对原适用法律或国家政策的修改；</w:t>
      </w:r>
    </w:p>
    <w:p w:rsidR="00410864" w:rsidRDefault="006B59FA">
      <w:pPr>
        <w:pStyle w:val="1dd8a4702"/>
        <w:widowControl/>
        <w:numPr>
          <w:ilvl w:val="0"/>
          <w:numId w:val="2"/>
        </w:numPr>
        <w:tabs>
          <w:tab w:val="left" w:pos="567"/>
        </w:tabs>
        <w:spacing w:line="200" w:lineRule="exact"/>
        <w:ind w:firstLineChars="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任何政府机关或其他机关的行为（不论是在法律上或是在事实上）、法律、法规、条例、规则、规定、裁决、命令或指令（包括国有化或对外限制、外汇管制）、诉讼或威胁；</w:t>
      </w:r>
    </w:p>
    <w:p w:rsidR="00410864" w:rsidRDefault="006B59FA">
      <w:pPr>
        <w:pStyle w:val="1dd8a4702"/>
        <w:widowControl/>
        <w:numPr>
          <w:ilvl w:val="0"/>
          <w:numId w:val="2"/>
        </w:numPr>
        <w:tabs>
          <w:tab w:val="left" w:pos="567"/>
        </w:tabs>
        <w:spacing w:line="200" w:lineRule="exact"/>
        <w:ind w:firstLineChars="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中国境内或全球金融外汇市场发生致使甲方无法进行货币兑换、划转等的异常变化；</w:t>
      </w:r>
    </w:p>
    <w:p w:rsidR="00410864" w:rsidRDefault="006B59FA">
      <w:pPr>
        <w:pStyle w:val="1dd8a4702"/>
        <w:widowControl/>
        <w:numPr>
          <w:ilvl w:val="0"/>
          <w:numId w:val="2"/>
        </w:numPr>
        <w:tabs>
          <w:tab w:val="left" w:pos="567"/>
        </w:tabs>
        <w:spacing w:line="200" w:lineRule="exact"/>
        <w:ind w:firstLineChars="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因理财产品各方和/或其关联方运营网络系统遭受黑客攻击、电信部门技术调整或故障等原因而造成的理财产品各方和/或其关联方之服务、营业的中断或者延迟。</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2.中国：指中华人民共和国（为本理财产品销售文件之目的，不包括香港特别行政区、澳门特别行政区和台湾地区）。</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3.元：指人民币元。</w:t>
      </w:r>
    </w:p>
    <w:p w:rsidR="00410864" w:rsidRDefault="006B59FA">
      <w:pPr>
        <w:pStyle w:val="Normal2a0e2cb9"/>
        <w:widowControl/>
        <w:tabs>
          <w:tab w:val="left" w:pos="567"/>
        </w:tabs>
        <w:spacing w:line="200" w:lineRule="exact"/>
        <w:ind w:left="289"/>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4.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410864" w:rsidRDefault="006B59FA">
      <w:pPr>
        <w:widowControl/>
        <w:spacing w:line="200" w:lineRule="exact"/>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第三条  情景示例</w:t>
      </w:r>
    </w:p>
    <w:p w:rsidR="00410864" w:rsidRDefault="006B59FA">
      <w:pPr>
        <w:widowControl/>
        <w:spacing w:line="200" w:lineRule="exact"/>
        <w:ind w:firstLineChars="200" w:firstLine="300"/>
        <w:rPr>
          <w:rFonts w:ascii="方正黑体_GBK" w:eastAsia="方正黑体_GBK" w:hAnsi="方正黑体_GBK" w:cs="方正黑体_GBK"/>
          <w:kern w:val="0"/>
          <w:sz w:val="15"/>
          <w:szCs w:val="15"/>
        </w:rPr>
      </w:pPr>
      <w:r>
        <w:rPr>
          <w:rFonts w:ascii="方正黑体_GBK" w:eastAsia="方正黑体_GBK" w:hAnsi="方正黑体_GBK" w:cs="方正黑体_GBK" w:hint="eastAsia"/>
          <w:kern w:val="0"/>
          <w:sz w:val="15"/>
          <w:szCs w:val="15"/>
        </w:rPr>
        <w:t>假设：投资者认购本理财产品10万元，确认认购的产品净值为1.0000元，折算份额100,000份，该份额在2023年8月28日及之前不可赎回。</w:t>
      </w:r>
    </w:p>
    <w:p w:rsidR="00410864" w:rsidRDefault="006B59FA">
      <w:pPr>
        <w:widowControl/>
        <w:spacing w:line="200" w:lineRule="exact"/>
        <w:ind w:firstLineChars="200" w:firstLine="300"/>
        <w:rPr>
          <w:rFonts w:ascii="方正黑体_GBK" w:eastAsia="方正黑体_GBK" w:hAnsi="方正黑体_GBK" w:cs="方正黑体_GBK"/>
          <w:kern w:val="0"/>
          <w:sz w:val="15"/>
          <w:szCs w:val="15"/>
        </w:rPr>
      </w:pPr>
      <w:r>
        <w:rPr>
          <w:rFonts w:ascii="方正黑体_GBK" w:eastAsia="方正黑体_GBK" w:hAnsi="方正黑体_GBK" w:cs="方正黑体_GBK" w:hint="eastAsia"/>
          <w:kern w:val="0"/>
          <w:sz w:val="15"/>
          <w:szCs w:val="15"/>
        </w:rPr>
        <w:t>情景示例一：投资者于2023年9月20日10时申请赎回50,000份，赎回确认日产品单位净值折算每份额净值1.0300，则客户在资金到帐日收到赎回资金为51,500元。</w:t>
      </w:r>
    </w:p>
    <w:p w:rsidR="00410864" w:rsidRDefault="006B59FA">
      <w:pPr>
        <w:widowControl/>
        <w:spacing w:line="200" w:lineRule="exact"/>
        <w:ind w:firstLineChars="200" w:firstLine="300"/>
        <w:rPr>
          <w:rFonts w:ascii="方正黑体_GBK" w:eastAsia="方正黑体_GBK" w:hAnsi="方正黑体_GBK" w:cs="方正黑体_GBK"/>
          <w:kern w:val="0"/>
          <w:sz w:val="15"/>
          <w:szCs w:val="15"/>
        </w:rPr>
      </w:pPr>
      <w:r>
        <w:rPr>
          <w:rFonts w:ascii="方正黑体_GBK" w:eastAsia="方正黑体_GBK" w:hAnsi="方正黑体_GBK" w:cs="方正黑体_GBK" w:hint="eastAsia"/>
          <w:kern w:val="0"/>
          <w:sz w:val="15"/>
          <w:szCs w:val="15"/>
        </w:rPr>
        <w:t>情景示例二：投资者于2023年10月18日10时申请赎回20,000份，赎回确认日产品单位净值折算每份额净值为0.9700，则客户在资金到帐日收到赎回资金为19,400元。</w:t>
      </w:r>
    </w:p>
    <w:p w:rsidR="00410864" w:rsidRDefault="006B59FA">
      <w:pPr>
        <w:widowControl/>
        <w:spacing w:line="200" w:lineRule="exact"/>
        <w:ind w:firstLineChars="200" w:firstLine="300"/>
        <w:rPr>
          <w:rFonts w:ascii="方正黑体_GBK" w:eastAsia="方正黑体_GBK" w:hAnsi="方正黑体_GBK" w:cs="方正黑体_GBK"/>
          <w:kern w:val="0"/>
          <w:sz w:val="15"/>
          <w:szCs w:val="15"/>
        </w:rPr>
      </w:pPr>
      <w:r>
        <w:rPr>
          <w:rFonts w:ascii="方正黑体_GBK" w:eastAsia="方正黑体_GBK" w:hAnsi="方正黑体_GBK" w:cs="方正黑体_GBK" w:hint="eastAsia"/>
          <w:kern w:val="0"/>
          <w:sz w:val="15"/>
          <w:szCs w:val="15"/>
        </w:rPr>
        <w:t>以上数据为假设情形中的模拟数据，不代表实际收益，投资需谨慎。</w:t>
      </w:r>
    </w:p>
    <w:p w:rsidR="00410864" w:rsidRDefault="006B59FA">
      <w:pPr>
        <w:widowControl/>
        <w:spacing w:line="200" w:lineRule="exact"/>
        <w:ind w:firstLineChars="200" w:firstLine="300"/>
        <w:rPr>
          <w:rFonts w:ascii="方正黑体_GBK" w:eastAsia="方正黑体_GBK" w:hAnsi="方正黑体_GBK" w:cs="方正黑体_GBK"/>
          <w:sz w:val="15"/>
          <w:szCs w:val="15"/>
        </w:rPr>
      </w:pPr>
      <w:r>
        <w:rPr>
          <w:rFonts w:ascii="方正黑体_GBK" w:eastAsia="方正黑体_GBK" w:hAnsi="方正黑体_GBK" w:cs="方正黑体_GBK"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410864" w:rsidRDefault="006B59FA">
      <w:pPr>
        <w:widowControl/>
        <w:spacing w:line="200" w:lineRule="exact"/>
        <w:ind w:firstLineChars="200" w:firstLine="300"/>
        <w:rPr>
          <w:rFonts w:ascii="方正黑体_GBK" w:eastAsia="方正黑体_GBK" w:hAnsi="方正黑体_GBK" w:cs="方正黑体_GBK"/>
        </w:rPr>
      </w:pPr>
      <w:r>
        <w:rPr>
          <w:rFonts w:ascii="方正黑体_GBK" w:eastAsia="方正黑体_GBK" w:hAnsi="方正黑体_GBK" w:cs="方正黑体_GBK"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410864" w:rsidRDefault="006B59FA">
      <w:pPr>
        <w:widowControl/>
        <w:spacing w:line="200" w:lineRule="exact"/>
        <w:rPr>
          <w:rFonts w:ascii="方正黑体_GBK" w:eastAsia="方正黑体_GBK" w:hAnsi="方正黑体_GBK" w:cs="方正黑体_GBK"/>
          <w:b/>
          <w:kern w:val="0"/>
          <w:sz w:val="15"/>
          <w:szCs w:val="15"/>
        </w:rPr>
      </w:pPr>
      <w:r>
        <w:rPr>
          <w:rFonts w:ascii="方正黑体_GBK" w:eastAsia="方正黑体_GBK" w:hAnsi="方正黑体_GBK" w:cs="方正黑体_GBK" w:hint="eastAsia"/>
          <w:b/>
          <w:bCs/>
          <w:kern w:val="0"/>
          <w:sz w:val="15"/>
          <w:szCs w:val="15"/>
        </w:rPr>
        <w:t>第四</w:t>
      </w:r>
      <w:r>
        <w:rPr>
          <w:rFonts w:ascii="方正黑体_GBK" w:eastAsia="方正黑体_GBK" w:hAnsi="方正黑体_GBK" w:cs="方正黑体_GBK" w:hint="eastAsia"/>
          <w:b/>
          <w:kern w:val="0"/>
          <w:sz w:val="15"/>
          <w:szCs w:val="15"/>
        </w:rPr>
        <w:t>条  理财产品估值</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（一）估值日</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本理财产品每个工作日进行估值。</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（二）估值对象</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本理财产品所拥有的所有资产及负债。</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（三）估值目的</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客观、准确反映理财产品的价值。</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（四）估值原则</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估值中坚持公允价值计量原则。</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（五）估值方法</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估值方法中列示的资产品种不代表管理人的实际投向，本理财产品拟投资范围以“投资范围”章节描述为准。</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1.银行存款、回购等货币市场工具</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以本金列示，按商定的利率在实际持有期间内逐日计提。</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2.债券类资产</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的估值技术对其进行估值。对于符合企业会计准则及监管规定范围内的，分类为“以摊余成本计量的金融资产”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3.非标准化债权类资产</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以摊余成本计量的金融资产”的资产按摊余成本法估值，并按照会计准则采用合理减值计量模型或第三方减值计量结果进行预期信用损失的减值计提。</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4.证券投资基金</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非上市证券投资基金估值以基金管理人出具的基金净资产管理估值报告或分红确认单为准。上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5.股权类资产</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6.资管计划、信托计划等资产</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存在公允价值的，按照公允价值估值，或采用估值技术确定估值，也可采用被委托机构提供的估值或计量报告。</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7.其他资产</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存在公允价值的，按照公允价值估值，或采用估值技术确定估值，也可采用被委托机构提供的估值或计量报告。具体可参考《企业会计准则》以及相关监管政策的规定。</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8.如果管理人或托管人认为按以上规定的方法对产品资产进行估值不能客观反映其公允价值的，可提出异议，管理人和托管人协商一致后，变更公允价值的确定方式，并从经管理人与托管人协商一致日起执行。</w:t>
      </w:r>
    </w:p>
    <w:p w:rsidR="00410864" w:rsidRDefault="006B59FA">
      <w:pPr>
        <w:spacing w:line="200" w:lineRule="exact"/>
        <w:ind w:firstLine="280"/>
        <w:jc w:val="left"/>
        <w:rPr>
          <w:rFonts w:ascii="方正黑体_GBK" w:eastAsia="方正黑体_GBK" w:hAnsi="方正黑体_GBK" w:cs="方正黑体_GBK"/>
        </w:rPr>
      </w:pPr>
      <w:r>
        <w:rPr>
          <w:rFonts w:ascii="方正黑体_GBK" w:eastAsia="方正黑体_GBK" w:hAnsi="方正黑体_GBK" w:cs="方正黑体_GBK" w:hint="eastAsia"/>
          <w:color w:val="3D3D3D"/>
          <w:sz w:val="15"/>
        </w:rPr>
        <w:t>9.如有新增事项或变更事项，按国家最新规定或管理人最新的约定估值。</w:t>
      </w:r>
    </w:p>
    <w:p w:rsidR="00410864" w:rsidRDefault="006B59FA">
      <w:pPr>
        <w:spacing w:line="200" w:lineRule="exact"/>
        <w:ind w:firstLine="300"/>
        <w:jc w:val="left"/>
        <w:rPr>
          <w:rFonts w:ascii="方正黑体_GBK" w:eastAsia="方正黑体_GBK" w:hAnsi="方正黑体_GBK" w:cs="方正黑体_GBK"/>
        </w:rPr>
      </w:pPr>
      <w:r>
        <w:rPr>
          <w:rFonts w:ascii="方正黑体_GBK" w:eastAsia="方正黑体_GBK" w:hAnsi="方正黑体_GBK" w:cs="方正黑体_GBK" w:hint="eastAsia"/>
          <w:sz w:val="15"/>
        </w:rPr>
        <w:t>开放式理财产品在前一估值日内，产品资产净值50%以上的资产不具备活跃交易市场或者在活跃市场中无报价，且不能采用估值技术可靠计量公允价值的，管理人将暂停该产品估值，并采取延缓支付赎回款项或暂停接受理财产品认购、申购、赎回申请等措施。管理人将在采取上述一种或多种措施后3个交易日内告知投资者，并说明运用相关措施的原因、拟采取的应对安排等，投资者需重新进行资金安排。</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（六）估值错误及暂停估值</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lastRenderedPageBreak/>
        <w:t>当资产估值或份额净值计价错误且给投资者造成损失的，管理人应立即纠正，并采取合理的措施防止损失进一步扩大。</w:t>
      </w:r>
    </w:p>
    <w:p w:rsidR="00410864" w:rsidRDefault="006B59FA">
      <w:pPr>
        <w:spacing w:line="200" w:lineRule="exact"/>
        <w:ind w:firstLine="300"/>
        <w:rPr>
          <w:rFonts w:ascii="方正黑体_GBK" w:eastAsia="方正黑体_GBK" w:hAnsi="方正黑体_GBK" w:cs="方正黑体_GBK"/>
        </w:rPr>
      </w:pPr>
      <w:r>
        <w:rPr>
          <w:rFonts w:ascii="方正黑体_GBK" w:eastAsia="方正黑体_GBK" w:hAnsi="方正黑体_GBK" w:cs="方正黑体_GBK" w:hint="eastAsia"/>
          <w:sz w:val="15"/>
        </w:rPr>
        <w:t>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rsidR="00410864" w:rsidRDefault="006B59FA">
      <w:pPr>
        <w:widowControl/>
        <w:spacing w:line="200" w:lineRule="exact"/>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第五条  信息披露</w:t>
      </w:r>
    </w:p>
    <w:p w:rsidR="00410864" w:rsidRDefault="006B59FA">
      <w:pPr>
        <w:widowControl/>
        <w:numPr>
          <w:ilvl w:val="0"/>
          <w:numId w:val="3"/>
        </w:numPr>
        <w:spacing w:line="200" w:lineRule="exact"/>
        <w:ind w:left="0"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信息披露渠道</w:t>
      </w:r>
    </w:p>
    <w:p w:rsidR="00410864" w:rsidRDefault="006B59FA">
      <w:pPr>
        <w:spacing w:line="200" w:lineRule="exact"/>
        <w:rPr>
          <w:rFonts w:ascii="方正黑体_GBK" w:eastAsia="方正黑体_GBK" w:hAnsi="方正黑体_GBK" w:cs="方正黑体_GBK"/>
        </w:rPr>
      </w:pPr>
      <w:r>
        <w:rPr>
          <w:rFonts w:ascii="方正黑体_GBK" w:eastAsia="方正黑体_GBK" w:hAnsi="方正黑体_GBK" w:cs="方正黑体_GBK" w:hint="eastAsia"/>
          <w:color w:val="3D3D3D"/>
          <w:sz w:val="15"/>
        </w:rPr>
        <w:t xml:space="preserve">  本理财产品的信息披露渠道包括但不限于南银理财官网（www.nanyinwealth.com）、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410864" w:rsidRDefault="006B59FA">
      <w:pPr>
        <w:widowControl/>
        <w:numPr>
          <w:ilvl w:val="0"/>
          <w:numId w:val="3"/>
        </w:numPr>
        <w:spacing w:line="200" w:lineRule="exact"/>
        <w:ind w:left="0"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信息披露的内容及时间</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 xml:space="preserve"> 净值信息</w:t>
      </w:r>
    </w:p>
    <w:p w:rsidR="00410864" w:rsidRDefault="006B59FA">
      <w:pPr>
        <w:widowControl/>
        <w:spacing w:line="200" w:lineRule="exact"/>
        <w:ind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管理人在本理财产品存续期间每个工作日向投资者披露净值。</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产品发行公告</w:t>
      </w:r>
    </w:p>
    <w:p w:rsidR="00410864" w:rsidRDefault="006B59FA">
      <w:pPr>
        <w:widowControl/>
        <w:spacing w:line="200" w:lineRule="exact"/>
        <w:ind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管理人将在本理财产品成立后5个工作日内披露产品发行公告。</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定期报告</w:t>
      </w:r>
    </w:p>
    <w:p w:rsidR="00410864" w:rsidRDefault="006B59FA">
      <w:pPr>
        <w:widowControl/>
        <w:spacing w:line="200" w:lineRule="exact"/>
        <w:ind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管理人将在每个季度结束之日起15个工作日内、上半年结束之日起60个工作日内、每年结束之日起90个工作日内披露本理财产品的季度、半年和年度报告，如果本理财产品成立不足90个工作日或者剩余存续期不超过90个工作日的，管理人可以不编制产品当期的季度、半年和年度报告。</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到期公告</w:t>
      </w:r>
    </w:p>
    <w:p w:rsidR="00410864" w:rsidRDefault="006B59FA">
      <w:pPr>
        <w:widowControl/>
        <w:spacing w:line="200" w:lineRule="exact"/>
        <w:ind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管理人将在本理财产品终止后5个工作日内披露产品到期公告。</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重大事项公告</w:t>
      </w:r>
    </w:p>
    <w:p w:rsidR="00410864" w:rsidRDefault="006B59FA">
      <w:pPr>
        <w:widowControl/>
        <w:spacing w:line="200" w:lineRule="exact"/>
        <w:ind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管理人将在发生可能对本理财产品投资者或者理财产品收益产生重大影响的事件后2个工作日内披露重大事项公告。</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临时公告</w:t>
      </w:r>
    </w:p>
    <w:p w:rsidR="00410864" w:rsidRDefault="006B59FA">
      <w:pPr>
        <w:widowControl/>
        <w:spacing w:line="200" w:lineRule="exact"/>
        <w:ind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理财产品在运作管理过程中，发生可能对理财产品持有人权益产生影响的事项时，管理人将根据法律法规规定及时进行临时信息披露。</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关联交易信息披露</w:t>
      </w:r>
    </w:p>
    <w:p w:rsidR="00410864" w:rsidRDefault="006B59FA">
      <w:pPr>
        <w:widowControl/>
        <w:spacing w:line="200" w:lineRule="exact"/>
        <w:ind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账单</w:t>
      </w:r>
    </w:p>
    <w:p w:rsidR="00410864" w:rsidRDefault="006B59FA">
      <w:pPr>
        <w:widowControl/>
        <w:spacing w:line="200" w:lineRule="exact"/>
        <w:ind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p>
    <w:p w:rsidR="00410864" w:rsidRDefault="006B59FA">
      <w:pPr>
        <w:widowControl/>
        <w:numPr>
          <w:ilvl w:val="0"/>
          <w:numId w:val="4"/>
        </w:numPr>
        <w:spacing w:line="200" w:lineRule="exact"/>
        <w:ind w:left="0" w:firstLineChars="200" w:firstLine="300"/>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在本理财产品存续期内：</w:t>
      </w:r>
    </w:p>
    <w:p w:rsidR="00410864" w:rsidRDefault="006B59FA">
      <w:pPr>
        <w:widowControl/>
        <w:spacing w:line="200" w:lineRule="exact"/>
        <w:ind w:firstLineChars="200" w:firstLine="300"/>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410864" w:rsidRDefault="006B59FA">
      <w:pPr>
        <w:widowControl/>
        <w:spacing w:line="200" w:lineRule="exact"/>
        <w:ind w:firstLineChars="200" w:firstLine="300"/>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2）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410864" w:rsidRDefault="006B59FA">
      <w:pPr>
        <w:widowControl/>
        <w:spacing w:line="200" w:lineRule="exact"/>
        <w:ind w:firstLineChars="200"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10.其他公告</w:t>
      </w:r>
    </w:p>
    <w:p w:rsidR="00410864" w:rsidRDefault="006B59FA">
      <w:pPr>
        <w:widowControl/>
        <w:spacing w:line="200" w:lineRule="exact"/>
        <w:ind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理财产品在运作管理过程中，管理人根据实际运作情况发布的其他公告。</w:t>
      </w:r>
    </w:p>
    <w:p w:rsidR="00410864" w:rsidRDefault="006B59FA">
      <w:pPr>
        <w:widowControl/>
        <w:spacing w:line="200" w:lineRule="exact"/>
        <w:ind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第六条  投资者保护提示</w:t>
      </w:r>
    </w:p>
    <w:p w:rsidR="00410864" w:rsidRDefault="006B59FA">
      <w:pPr>
        <w:widowControl/>
        <w:spacing w:line="200" w:lineRule="exact"/>
        <w:ind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您如对销售机构产品推介和销售等服务有任何意见或建议，您可通过拨打销售机构客服电话进行咨询及反馈。</w:t>
      </w:r>
    </w:p>
    <w:p w:rsidR="00410864" w:rsidRDefault="006B59FA">
      <w:pPr>
        <w:widowControl/>
        <w:spacing w:line="200" w:lineRule="exact"/>
        <w:ind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您如对理财产品设计、投资管理等事项有任何意见或建议，您可通过拨打管理人客服电话进行咨询及反馈。</w:t>
      </w:r>
    </w:p>
    <w:p w:rsidR="00410864" w:rsidRDefault="006B59FA">
      <w:pPr>
        <w:widowControl/>
        <w:spacing w:line="200" w:lineRule="exact"/>
        <w:ind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销售机构及管理人的联系方式详见《投资者权益须知》第八条。</w:t>
      </w:r>
    </w:p>
    <w:p w:rsidR="00410864" w:rsidRDefault="006B59FA">
      <w:pPr>
        <w:widowControl/>
        <w:spacing w:line="200" w:lineRule="exact"/>
        <w:ind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第七条  法律适用和争议解决</w:t>
      </w:r>
    </w:p>
    <w:p w:rsidR="00410864" w:rsidRDefault="006B59FA">
      <w:pPr>
        <w:widowControl/>
        <w:spacing w:line="200" w:lineRule="exact"/>
        <w:ind w:firstLine="300"/>
        <w:rPr>
          <w:rFonts w:ascii="方正黑体_GBK" w:eastAsia="方正黑体_GBK" w:hAnsi="方正黑体_GBK" w:cs="方正黑体_GBK"/>
          <w:color w:val="3D3D3D"/>
          <w:kern w:val="0"/>
          <w:sz w:val="15"/>
          <w:szCs w:val="15"/>
        </w:rPr>
      </w:pPr>
      <w:r>
        <w:rPr>
          <w:rFonts w:ascii="方正黑体_GBK" w:eastAsia="方正黑体_GBK" w:hAnsi="方正黑体_GBK" w:cs="方正黑体_GBK" w:hint="eastAsia"/>
          <w:color w:val="3D3D3D"/>
          <w:kern w:val="0"/>
          <w:sz w:val="15"/>
          <w:szCs w:val="15"/>
        </w:rPr>
        <w:t>理财产品销售文件的订立、生效、履行、解释、修改和终止等事项的适用法律和争议解决方式按照销售协议书的相关约定执行。</w:t>
      </w:r>
    </w:p>
    <w:p w:rsidR="00410864" w:rsidRDefault="006B59FA">
      <w:pPr>
        <w:widowControl/>
        <w:spacing w:line="200" w:lineRule="exact"/>
        <w:ind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第八条  重要提示</w:t>
      </w:r>
    </w:p>
    <w:p w:rsidR="00410864" w:rsidRDefault="006B59FA">
      <w:pPr>
        <w:widowControl/>
        <w:spacing w:line="200" w:lineRule="exact"/>
        <w:ind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请您一定仔细阅读本理财产品销售文件，了解理财产品具体情况，关注投资风险，自主决定是否投资。</w:t>
      </w:r>
    </w:p>
    <w:p w:rsidR="00410864" w:rsidRDefault="006B59FA">
      <w:pPr>
        <w:widowControl/>
        <w:spacing w:line="200" w:lineRule="exact"/>
        <w:ind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投资者特此同意并授权：管理人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管理人及销售机构保证信息采集、处理及使用的安全性和合法性。</w:t>
      </w:r>
    </w:p>
    <w:p w:rsidR="00410864" w:rsidRDefault="006B59FA">
      <w:pPr>
        <w:widowControl/>
        <w:spacing w:line="200" w:lineRule="exact"/>
        <w:ind w:firstLineChars="200" w:firstLine="300"/>
        <w:rPr>
          <w:rFonts w:ascii="方正黑体_GBK" w:eastAsia="方正黑体_GBK" w:hAnsi="方正黑体_GBK" w:cs="方正黑体_GBK"/>
          <w:b/>
          <w:bCs/>
          <w:kern w:val="0"/>
          <w:sz w:val="15"/>
          <w:szCs w:val="15"/>
        </w:rPr>
      </w:pPr>
      <w:r>
        <w:rPr>
          <w:rFonts w:ascii="方正黑体_GBK" w:eastAsia="方正黑体_GBK" w:hAnsi="方正黑体_GBK" w:cs="方正黑体_GBK" w:hint="eastAsia"/>
          <w:b/>
          <w:bCs/>
          <w:kern w:val="0"/>
          <w:sz w:val="15"/>
          <w:szCs w:val="15"/>
        </w:rPr>
        <w:t>本理财产品说明书在法律许可的范围内由管理人负责解释。若投资者对本理财说明书的内容有任何疑问或异议，可与管理人或销售机构联系，管理人或销售机构将及时接听、记录投资者的意见或建议，并与投资者协商共同解决。</w:t>
      </w:r>
    </w:p>
    <w:p w:rsidR="00410864" w:rsidRDefault="00410864">
      <w:pPr>
        <w:widowControl/>
        <w:rPr>
          <w:rFonts w:ascii="方正黑体_GBK" w:eastAsia="方正黑体_GBK" w:hAnsi="方正黑体_GBK" w:cs="方正黑体_GBK"/>
          <w:b/>
          <w:bCs/>
          <w:color w:val="3D3D3D"/>
          <w:kern w:val="0"/>
          <w:sz w:val="15"/>
          <w:szCs w:val="15"/>
        </w:rPr>
      </w:pPr>
    </w:p>
    <w:p w:rsidR="00410864" w:rsidRDefault="006B59FA">
      <w:pPr>
        <w:widowControl/>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风险提示：</w:t>
      </w:r>
    </w:p>
    <w:p w:rsidR="00410864" w:rsidRDefault="006B59FA">
      <w:pPr>
        <w:tabs>
          <w:tab w:val="left" w:pos="8033"/>
        </w:tabs>
        <w:jc w:val="left"/>
        <w:rPr>
          <w:rFonts w:ascii="方正黑体_GBK" w:eastAsia="方正黑体_GBK" w:hAnsi="方正黑体_GBK" w:cs="方正黑体_GBK"/>
          <w:b/>
          <w:bCs/>
          <w:color w:val="3D3D3D"/>
          <w:kern w:val="0"/>
          <w:sz w:val="15"/>
          <w:szCs w:val="15"/>
        </w:rPr>
      </w:pPr>
      <w:r>
        <w:rPr>
          <w:rFonts w:ascii="方正黑体_GBK" w:eastAsia="方正黑体_GBK" w:hAnsi="方正黑体_GBK" w:cs="方正黑体_GBK" w:hint="eastAsia"/>
          <w:b/>
          <w:bCs/>
          <w:color w:val="3D3D3D"/>
          <w:kern w:val="0"/>
          <w:sz w:val="15"/>
          <w:szCs w:val="15"/>
        </w:rPr>
        <w:t>本理财产品是</w:t>
      </w:r>
      <w:r>
        <w:rPr>
          <w:rFonts w:ascii="方正黑体_GBK" w:eastAsia="方正黑体_GBK" w:hAnsi="方正黑体_GBK" w:cs="方正黑体_GBK" w:hint="eastAsia"/>
          <w:b/>
          <w:bCs/>
          <w:i/>
          <w:iCs/>
          <w:kern w:val="0"/>
          <w:sz w:val="20"/>
          <w:u w:val="single"/>
        </w:rPr>
        <w:t>开放式、固定收益类、公募、净值型</w:t>
      </w:r>
      <w:r>
        <w:rPr>
          <w:rFonts w:ascii="方正黑体_GBK" w:eastAsia="方正黑体_GBK" w:hAnsi="方正黑体_GBK" w:cs="方正黑体_GBK" w:hint="eastAsia"/>
          <w:b/>
          <w:bCs/>
          <w:color w:val="3D3D3D"/>
          <w:kern w:val="0"/>
          <w:sz w:val="15"/>
          <w:szCs w:val="15"/>
        </w:rPr>
        <w:t>理财产品，</w:t>
      </w:r>
      <w:r>
        <w:rPr>
          <w:rFonts w:ascii="方正黑体_GBK" w:eastAsia="方正黑体_GBK" w:hAnsi="方正黑体_GBK" w:cs="方正黑体_GBK" w:hint="eastAsia"/>
          <w:b/>
          <w:bCs/>
          <w:i/>
          <w:iCs/>
          <w:color w:val="3D3D3D"/>
          <w:kern w:val="0"/>
          <w:sz w:val="21"/>
          <w:szCs w:val="21"/>
          <w:u w:val="single"/>
        </w:rPr>
        <w:t>不保证本金和收益</w:t>
      </w:r>
      <w:r>
        <w:rPr>
          <w:rFonts w:ascii="方正黑体_GBK" w:eastAsia="方正黑体_GBK" w:hAnsi="方正黑体_GBK" w:cs="方正黑体_GBK" w:hint="eastAsia"/>
          <w:b/>
          <w:bCs/>
          <w:color w:val="3D3D3D"/>
          <w:kern w:val="0"/>
          <w:sz w:val="15"/>
          <w:szCs w:val="15"/>
        </w:rPr>
        <w:t>，您的本金与收益可能会蒙受重大损失，您应仔细阅读《理财产品风险揭示书》《理财产品说明书》《投资者权益须知》《理财产品销售协议书》《理财产品投资协议书》，充分认识投资风险，谨慎投资。</w:t>
      </w:r>
    </w:p>
    <w:p w:rsidR="00CF1BA8" w:rsidRDefault="006B59FA" w:rsidP="00CF1BA8">
      <w:pPr>
        <w:jc w:val="center"/>
        <w:rPr>
          <w:rFonts w:ascii="黑体" w:eastAsia="黑体" w:hAnsi="宋体"/>
          <w:b/>
          <w:bCs/>
          <w:sz w:val="24"/>
          <w:szCs w:val="15"/>
        </w:rPr>
      </w:pPr>
      <w:r>
        <w:rPr>
          <w:rFonts w:ascii="方正黑体_GBK" w:eastAsia="方正黑体_GBK" w:hAnsi="方正黑体_GBK" w:cs="方正黑体_GBK" w:hint="eastAsia"/>
          <w:b/>
          <w:bCs/>
          <w:color w:val="3D3D3D"/>
          <w:kern w:val="0"/>
          <w:sz w:val="15"/>
          <w:szCs w:val="15"/>
        </w:rPr>
        <w:br w:type="page"/>
      </w:r>
      <w:r w:rsidR="00CF1BA8">
        <w:rPr>
          <w:rFonts w:ascii="黑体" w:eastAsia="黑体" w:hAnsi="宋体" w:hint="eastAsia"/>
          <w:b/>
          <w:bCs/>
          <w:sz w:val="24"/>
          <w:szCs w:val="15"/>
        </w:rPr>
        <w:lastRenderedPageBreak/>
        <w:t>投资者权益须知</w:t>
      </w:r>
    </w:p>
    <w:p w:rsidR="00CF1BA8" w:rsidRDefault="00CF1BA8" w:rsidP="00CF1BA8">
      <w:pPr>
        <w:ind w:firstLineChars="200" w:firstLine="321"/>
        <w:jc w:val="center"/>
        <w:rPr>
          <w:rFonts w:ascii="宋体" w:hAnsi="宋体"/>
          <w:b/>
          <w:i/>
          <w:sz w:val="16"/>
          <w:szCs w:val="15"/>
          <w:u w:val="single"/>
        </w:rPr>
      </w:pPr>
    </w:p>
    <w:p w:rsidR="00CF1BA8" w:rsidRDefault="00CF1BA8" w:rsidP="00CF1BA8">
      <w:pPr>
        <w:ind w:firstLineChars="200" w:firstLine="321"/>
        <w:jc w:val="center"/>
        <w:rPr>
          <w:rFonts w:ascii="宋体" w:hAnsi="宋体"/>
          <w:b/>
          <w:i/>
          <w:sz w:val="16"/>
          <w:szCs w:val="15"/>
          <w:u w:val="single"/>
        </w:rPr>
      </w:pPr>
      <w:r>
        <w:rPr>
          <w:rFonts w:ascii="宋体" w:hAnsi="宋体" w:hint="eastAsia"/>
          <w:b/>
          <w:i/>
          <w:sz w:val="16"/>
          <w:szCs w:val="15"/>
          <w:u w:val="single"/>
        </w:rPr>
        <w:t xml:space="preserve">“理财非存款、产品有风险、理财产品过往业绩不代表其未来表现，不等于理财产品实际收益，投资须谨慎！” </w:t>
      </w:r>
    </w:p>
    <w:p w:rsidR="00CF1BA8" w:rsidRDefault="00CF1BA8" w:rsidP="00CF1BA8">
      <w:pPr>
        <w:pStyle w:val="a8"/>
        <w:spacing w:before="0" w:after="0" w:line="240" w:lineRule="auto"/>
        <w:ind w:firstLine="340"/>
        <w:rPr>
          <w:spacing w:val="10"/>
          <w:sz w:val="15"/>
          <w:szCs w:val="15"/>
        </w:rPr>
      </w:pPr>
      <w:r>
        <w:rPr>
          <w:rFonts w:hint="eastAsia"/>
          <w:spacing w:val="10"/>
          <w:sz w:val="15"/>
          <w:szCs w:val="15"/>
        </w:rPr>
        <w:t>尊敬的投资者：</w:t>
      </w:r>
    </w:p>
    <w:p w:rsidR="00CF1BA8" w:rsidRDefault="00CF1BA8" w:rsidP="00CF1BA8">
      <w:pPr>
        <w:pStyle w:val="a8"/>
        <w:spacing w:before="0" w:after="0" w:line="240" w:lineRule="auto"/>
        <w:ind w:firstLineChars="200" w:firstLine="340"/>
        <w:jc w:val="both"/>
        <w:rPr>
          <w:spacing w:val="10"/>
          <w:sz w:val="15"/>
          <w:szCs w:val="15"/>
        </w:rPr>
      </w:pPr>
      <w:r>
        <w:rPr>
          <w:rFonts w:hint="eastAsia"/>
          <w:spacing w:val="10"/>
          <w:sz w:val="15"/>
          <w:szCs w:val="15"/>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rsidR="00CF1BA8" w:rsidRDefault="00CF1BA8" w:rsidP="00CF1BA8">
      <w:pPr>
        <w:pStyle w:val="a8"/>
        <w:spacing w:before="0" w:after="0" w:line="240" w:lineRule="auto"/>
        <w:ind w:firstLineChars="200" w:firstLine="340"/>
        <w:jc w:val="both"/>
        <w:rPr>
          <w:spacing w:val="10"/>
          <w:sz w:val="15"/>
          <w:szCs w:val="15"/>
        </w:rPr>
      </w:pPr>
      <w:r>
        <w:rPr>
          <w:rFonts w:hint="eastAsia"/>
          <w:spacing w:val="10"/>
          <w:sz w:val="15"/>
          <w:szCs w:val="15"/>
        </w:rPr>
        <w:t>本理财产品指由南银理财作为管理人发行，并由南京银行股份有限公司（以下简称“销售机构”）销售的理财产品。</w:t>
      </w:r>
    </w:p>
    <w:p w:rsidR="00CF1BA8" w:rsidRDefault="00CF1BA8" w:rsidP="00CF1BA8">
      <w:pPr>
        <w:pStyle w:val="a8"/>
        <w:spacing w:line="240" w:lineRule="auto"/>
        <w:ind w:left="341" w:firstLine="341"/>
        <w:jc w:val="both"/>
        <w:rPr>
          <w:b/>
          <w:spacing w:val="10"/>
          <w:sz w:val="15"/>
          <w:szCs w:val="15"/>
        </w:rPr>
      </w:pPr>
      <w:r>
        <w:rPr>
          <w:rFonts w:hint="eastAsia"/>
          <w:b/>
          <w:spacing w:val="10"/>
          <w:sz w:val="15"/>
          <w:szCs w:val="15"/>
        </w:rPr>
        <w:t>第一条</w:t>
      </w:r>
      <w:r>
        <w:rPr>
          <w:b/>
          <w:spacing w:val="10"/>
          <w:sz w:val="15"/>
          <w:szCs w:val="15"/>
        </w:rPr>
        <w:t xml:space="preserve"> </w:t>
      </w:r>
      <w:r>
        <w:rPr>
          <w:rFonts w:hint="eastAsia"/>
          <w:b/>
          <w:spacing w:val="10"/>
          <w:sz w:val="15"/>
          <w:szCs w:val="15"/>
        </w:rPr>
        <w:t>理财产品购买流程说明</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（一）首次在销售机构购买理财产品的投资者应按销售机构的要求明确授权指定账户，用于本理财产品的理财资金划转及理财收益、到期清算分配资金的分配，提供并确认正确的联系方式。</w:t>
      </w:r>
    </w:p>
    <w:p w:rsidR="00CF1BA8" w:rsidRDefault="00CF1BA8" w:rsidP="00CF1BA8">
      <w:pPr>
        <w:pStyle w:val="a8"/>
        <w:spacing w:before="0" w:after="0" w:line="240" w:lineRule="auto"/>
        <w:ind w:firstLineChars="199" w:firstLine="338"/>
        <w:jc w:val="both"/>
        <w:rPr>
          <w:bCs/>
          <w:spacing w:val="10"/>
          <w:sz w:val="15"/>
          <w:szCs w:val="15"/>
        </w:rPr>
      </w:pPr>
      <w:r>
        <w:rPr>
          <w:rFonts w:hint="eastAsia"/>
          <w:bCs/>
          <w:spacing w:val="10"/>
          <w:sz w:val="15"/>
          <w:szCs w:val="15"/>
        </w:rPr>
        <w:t>（二）在销售机构购买理财产品的个人投资者应按销售机构的要求进行投资者风险承受能力评估，并确认风险承受能力等级不低于本理财产品风险等级。</w:t>
      </w:r>
    </w:p>
    <w:p w:rsidR="00CF1BA8" w:rsidRDefault="00CF1BA8" w:rsidP="00CF1BA8">
      <w:pPr>
        <w:pStyle w:val="a8"/>
        <w:spacing w:before="0" w:after="0" w:line="240" w:lineRule="auto"/>
        <w:ind w:firstLineChars="199" w:firstLine="338"/>
        <w:jc w:val="both"/>
        <w:rPr>
          <w:bCs/>
          <w:spacing w:val="10"/>
          <w:sz w:val="15"/>
          <w:szCs w:val="15"/>
        </w:rPr>
      </w:pPr>
      <w:r>
        <w:rPr>
          <w:rFonts w:hint="eastAsia"/>
          <w:bCs/>
          <w:spacing w:val="10"/>
          <w:sz w:val="15"/>
          <w:szCs w:val="15"/>
        </w:rPr>
        <w:t>（三）投资者应仔细阅读拟购买理财产品销售文件（以下简称“销售文件”），包括但不限于理财产品对应的：《理财产品销售协议书》《理财产品说明书》《理财产品风险揭示书》《投资者权益须知》《理财产品投资协议书》等，理解并确认理财产品条款及产品风险。</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投资者在销售机构提供的渠道自主决定是否购买理财产品，确定购买金额，完成交易申请，并在确认份额后进行查询。</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通过代销机构购买理财产品的具体流程说明：</w:t>
      </w:r>
    </w:p>
    <w:p w:rsidR="00CF1BA8" w:rsidRDefault="00CF1BA8" w:rsidP="00CF1BA8">
      <w:pPr>
        <w:pStyle w:val="a8"/>
        <w:spacing w:before="0" w:after="0" w:line="240" w:lineRule="auto"/>
        <w:ind w:firstLineChars="200" w:firstLine="340"/>
        <w:jc w:val="both"/>
        <w:rPr>
          <w:bCs/>
          <w:spacing w:val="10"/>
          <w:sz w:val="15"/>
          <w:szCs w:val="15"/>
        </w:rPr>
      </w:pPr>
      <w:r>
        <w:rPr>
          <w:bCs/>
          <w:spacing w:val="10"/>
          <w:sz w:val="15"/>
          <w:szCs w:val="15"/>
        </w:rPr>
        <w:t>1</w:t>
      </w:r>
      <w:r>
        <w:rPr>
          <w:rFonts w:hint="eastAsia"/>
          <w:bCs/>
          <w:spacing w:val="10"/>
          <w:sz w:val="15"/>
          <w:szCs w:val="15"/>
        </w:rPr>
        <w:t>、理财签约</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投资者按照代销机构的要求进行理财签约。</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首次购买理财的个人投资者须进行风险承受能力评估（详见第二条）和理财签约。</w:t>
      </w:r>
    </w:p>
    <w:p w:rsidR="00CF1BA8" w:rsidRDefault="00CF1BA8" w:rsidP="00CF1BA8">
      <w:pPr>
        <w:pStyle w:val="a8"/>
        <w:spacing w:before="0" w:after="0" w:line="240" w:lineRule="auto"/>
        <w:ind w:firstLineChars="200" w:firstLine="340"/>
        <w:jc w:val="both"/>
        <w:rPr>
          <w:bCs/>
          <w:spacing w:val="10"/>
          <w:sz w:val="15"/>
          <w:szCs w:val="15"/>
        </w:rPr>
      </w:pPr>
      <w:r>
        <w:rPr>
          <w:bCs/>
          <w:spacing w:val="10"/>
          <w:sz w:val="15"/>
          <w:szCs w:val="15"/>
        </w:rPr>
        <w:t>2</w:t>
      </w:r>
      <w:r>
        <w:rPr>
          <w:rFonts w:hint="eastAsia"/>
          <w:bCs/>
          <w:spacing w:val="10"/>
          <w:sz w:val="15"/>
          <w:szCs w:val="15"/>
        </w:rPr>
        <w:t>、理财产品认</w:t>
      </w:r>
      <w:r>
        <w:rPr>
          <w:bCs/>
          <w:spacing w:val="10"/>
          <w:sz w:val="15"/>
          <w:szCs w:val="15"/>
        </w:rPr>
        <w:t>/</w:t>
      </w:r>
      <w:r>
        <w:rPr>
          <w:rFonts w:hint="eastAsia"/>
          <w:bCs/>
          <w:spacing w:val="10"/>
          <w:sz w:val="15"/>
          <w:szCs w:val="15"/>
        </w:rPr>
        <w:t>申购申请</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投资者自主决定是否购买理财产品。在理财产品募集期</w:t>
      </w:r>
      <w:r>
        <w:rPr>
          <w:bCs/>
          <w:spacing w:val="10"/>
          <w:sz w:val="15"/>
          <w:szCs w:val="15"/>
        </w:rPr>
        <w:t>/</w:t>
      </w:r>
      <w:r>
        <w:rPr>
          <w:rFonts w:hint="eastAsia"/>
          <w:bCs/>
          <w:spacing w:val="10"/>
          <w:sz w:val="15"/>
          <w:szCs w:val="15"/>
        </w:rPr>
        <w:t>开放期销售时段内，投资者可选择在代销机构营业网点或电子渠道购买。</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）营业网点</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●机构投资者适用</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机构投资者购买理财产品前应通过理财签约交易开通理财账户，按照对应期次的《理财产品说明书》约定的币种和金额存入授权指定账户，代销机构柜面服务人员通过柜面相关交易录入投资者认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申购交易；完成认</w:t>
      </w:r>
      <w:r>
        <w:rPr>
          <w:bCs/>
          <w:spacing w:val="10"/>
          <w:sz w:val="15"/>
          <w:szCs w:val="15"/>
        </w:rPr>
        <w:t>/</w:t>
      </w:r>
      <w:r>
        <w:rPr>
          <w:rFonts w:hint="eastAsia"/>
          <w:bCs/>
          <w:spacing w:val="10"/>
          <w:sz w:val="15"/>
          <w:szCs w:val="15"/>
        </w:rPr>
        <w:t>申购交易不等同于认</w:t>
      </w:r>
      <w:r>
        <w:rPr>
          <w:bCs/>
          <w:spacing w:val="10"/>
          <w:sz w:val="15"/>
          <w:szCs w:val="15"/>
        </w:rPr>
        <w:t>/</w:t>
      </w:r>
      <w:r>
        <w:rPr>
          <w:rFonts w:hint="eastAsia"/>
          <w:bCs/>
          <w:spacing w:val="10"/>
          <w:sz w:val="15"/>
          <w:szCs w:val="15"/>
        </w:rPr>
        <w:t>申购成功，认</w:t>
      </w:r>
      <w:r>
        <w:rPr>
          <w:bCs/>
          <w:spacing w:val="10"/>
          <w:sz w:val="15"/>
          <w:szCs w:val="15"/>
        </w:rPr>
        <w:t>/</w:t>
      </w:r>
      <w:r>
        <w:rPr>
          <w:rFonts w:hint="eastAsia"/>
          <w:bCs/>
          <w:spacing w:val="10"/>
          <w:sz w:val="15"/>
          <w:szCs w:val="15"/>
        </w:rPr>
        <w:t>申购结果以南银理财系统的确认结果为准。</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●个人投资者适用</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如个人投资者选择在代销机构营业网点购买理财产品，流程如下：</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理财产品推荐及录音录像（以下简称“双录”）。代销机构理财产品销售人员根据投资者的风险评估结果，向投资者推荐合适的理财产品，提供理财产品销售文件，介绍产品相关条款及风险揭示等内容。投资者应仔细阅读拟购买理财产品销售文件，自主决定是否购买，如确认购买，须在代销理财产品业务申请表上签字确认，并在《理财产品风险揭示书》上亲自抄录风险揭示语句。代销机构理财产品销售人员须在销售专区对理财销售全过程进行双录。完成双录后，投资者须在代销机构的风险产品录音录像确认单上签字确认。</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个人投资者向代销机构申请购买理财产品前须开立代销机构的借记卡、通过理财签约交易开通理财账户，在理财产品认购期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开放期销售时段内，按照对应期次的《理财产品说明书》约定的币种和金额存入授权指定账户。</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个人投资者将本人有效身份证件、已签字确认的理财认</w:t>
      </w:r>
      <w:r>
        <w:rPr>
          <w:bCs/>
          <w:spacing w:val="10"/>
          <w:sz w:val="15"/>
          <w:szCs w:val="15"/>
        </w:rPr>
        <w:t>/</w:t>
      </w:r>
      <w:r>
        <w:rPr>
          <w:rFonts w:hint="eastAsia"/>
          <w:bCs/>
          <w:spacing w:val="10"/>
          <w:sz w:val="15"/>
          <w:szCs w:val="15"/>
        </w:rPr>
        <w:t>申购申请资料和代销机构的风险产品录音录像确认单提交代销机构柜面服务人员进行购买操作，代销机构柜面服务人员通过柜面相关交易录入投资者认</w:t>
      </w:r>
      <w:r>
        <w:rPr>
          <w:bCs/>
          <w:spacing w:val="10"/>
          <w:sz w:val="15"/>
          <w:szCs w:val="15"/>
        </w:rPr>
        <w:t>/</w:t>
      </w:r>
      <w:r>
        <w:rPr>
          <w:rFonts w:hint="eastAsia"/>
          <w:bCs/>
          <w:spacing w:val="10"/>
          <w:sz w:val="15"/>
          <w:szCs w:val="15"/>
        </w:rPr>
        <w:t>申购信息，完成认</w:t>
      </w:r>
      <w:r>
        <w:rPr>
          <w:bCs/>
          <w:spacing w:val="10"/>
          <w:sz w:val="15"/>
          <w:szCs w:val="15"/>
        </w:rPr>
        <w:t>/</w:t>
      </w:r>
      <w:r>
        <w:rPr>
          <w:rFonts w:hint="eastAsia"/>
          <w:bCs/>
          <w:spacing w:val="10"/>
          <w:sz w:val="15"/>
          <w:szCs w:val="15"/>
        </w:rPr>
        <w:t>申购交易。</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）电子渠道</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如投资者选择在代销机构提供的电子渠道（包括但不限于网上银行、手机银行或监管机构认可的其他销售渠道）购买理财产品，投资者需通过相关电子渠道仔细阅读理财产品销售文件，根据认购</w:t>
      </w:r>
      <w:r>
        <w:rPr>
          <w:bCs/>
          <w:spacing w:val="10"/>
          <w:sz w:val="15"/>
          <w:szCs w:val="15"/>
        </w:rPr>
        <w:t>/</w:t>
      </w:r>
      <w:r>
        <w:rPr>
          <w:rFonts w:hint="eastAsia"/>
          <w:bCs/>
          <w:spacing w:val="10"/>
          <w:sz w:val="15"/>
          <w:szCs w:val="15"/>
        </w:rPr>
        <w:t>申购流程逐项点击确认进行购买，认</w:t>
      </w:r>
      <w:r>
        <w:rPr>
          <w:bCs/>
          <w:spacing w:val="10"/>
          <w:sz w:val="15"/>
          <w:szCs w:val="15"/>
        </w:rPr>
        <w:t>/</w:t>
      </w:r>
      <w:r>
        <w:rPr>
          <w:rFonts w:hint="eastAsia"/>
          <w:bCs/>
          <w:spacing w:val="10"/>
          <w:sz w:val="15"/>
          <w:szCs w:val="15"/>
        </w:rPr>
        <w:t>申购结果以在该等电子渠道的查询结果为准。</w:t>
      </w:r>
    </w:p>
    <w:p w:rsidR="00CF1BA8" w:rsidRDefault="00CF1BA8" w:rsidP="00CF1BA8">
      <w:pPr>
        <w:pStyle w:val="a8"/>
        <w:spacing w:before="0" w:after="0" w:line="240" w:lineRule="auto"/>
        <w:ind w:firstLineChars="200" w:firstLine="340"/>
        <w:jc w:val="both"/>
        <w:rPr>
          <w:bCs/>
          <w:spacing w:val="10"/>
          <w:sz w:val="15"/>
          <w:szCs w:val="15"/>
        </w:rPr>
      </w:pPr>
      <w:r>
        <w:rPr>
          <w:bCs/>
          <w:spacing w:val="10"/>
          <w:sz w:val="15"/>
          <w:szCs w:val="15"/>
        </w:rPr>
        <w:t>3</w:t>
      </w:r>
      <w:r>
        <w:rPr>
          <w:rFonts w:hint="eastAsia"/>
          <w:bCs/>
          <w:spacing w:val="10"/>
          <w:sz w:val="15"/>
          <w:szCs w:val="15"/>
        </w:rPr>
        <w:t>、理财产品认</w:t>
      </w:r>
      <w:r>
        <w:rPr>
          <w:bCs/>
          <w:spacing w:val="10"/>
          <w:sz w:val="15"/>
          <w:szCs w:val="15"/>
        </w:rPr>
        <w:t>/</w:t>
      </w:r>
      <w:r>
        <w:rPr>
          <w:rFonts w:hint="eastAsia"/>
          <w:bCs/>
          <w:spacing w:val="10"/>
          <w:sz w:val="15"/>
          <w:szCs w:val="15"/>
        </w:rPr>
        <w:t>申购申请撤销。投资者在理财产品认购期</w:t>
      </w:r>
      <w:r>
        <w:rPr>
          <w:bCs/>
          <w:spacing w:val="10"/>
          <w:sz w:val="15"/>
          <w:szCs w:val="15"/>
        </w:rPr>
        <w:t>/</w:t>
      </w:r>
      <w:r>
        <w:rPr>
          <w:rFonts w:hint="eastAsia"/>
          <w:bCs/>
          <w:spacing w:val="10"/>
          <w:sz w:val="15"/>
          <w:szCs w:val="15"/>
        </w:rPr>
        <w:t>募集期</w:t>
      </w:r>
      <w:r>
        <w:rPr>
          <w:bCs/>
          <w:spacing w:val="10"/>
          <w:sz w:val="15"/>
          <w:szCs w:val="15"/>
        </w:rPr>
        <w:t>/</w:t>
      </w:r>
      <w:r>
        <w:rPr>
          <w:rFonts w:hint="eastAsia"/>
          <w:bCs/>
          <w:spacing w:val="10"/>
          <w:sz w:val="15"/>
          <w:szCs w:val="15"/>
        </w:rPr>
        <w:t>开放期</w:t>
      </w:r>
      <w:r>
        <w:rPr>
          <w:bCs/>
          <w:spacing w:val="10"/>
          <w:sz w:val="15"/>
          <w:szCs w:val="15"/>
        </w:rPr>
        <w:t>/</w:t>
      </w:r>
      <w:r>
        <w:rPr>
          <w:rFonts w:hint="eastAsia"/>
          <w:bCs/>
          <w:spacing w:val="10"/>
          <w:sz w:val="15"/>
          <w:szCs w:val="15"/>
        </w:rPr>
        <w:t>投资冷静期（私募产品适用）内，可以撤销理财产品相应的认</w:t>
      </w:r>
      <w:r>
        <w:rPr>
          <w:bCs/>
          <w:spacing w:val="10"/>
          <w:sz w:val="15"/>
          <w:szCs w:val="15"/>
        </w:rPr>
        <w:t>/</w:t>
      </w:r>
      <w:r>
        <w:rPr>
          <w:rFonts w:hint="eastAsia"/>
          <w:bCs/>
          <w:spacing w:val="10"/>
          <w:sz w:val="15"/>
          <w:szCs w:val="15"/>
        </w:rPr>
        <w:t>申购申请。</w:t>
      </w:r>
    </w:p>
    <w:p w:rsidR="00CF1BA8" w:rsidRDefault="00CF1BA8" w:rsidP="00CF1BA8">
      <w:pPr>
        <w:pStyle w:val="a8"/>
        <w:spacing w:before="0" w:after="0" w:line="240" w:lineRule="auto"/>
        <w:ind w:firstLineChars="200" w:firstLine="340"/>
        <w:jc w:val="both"/>
        <w:rPr>
          <w:bCs/>
          <w:spacing w:val="10"/>
          <w:sz w:val="15"/>
          <w:szCs w:val="15"/>
        </w:rPr>
      </w:pPr>
      <w:r>
        <w:rPr>
          <w:bCs/>
          <w:spacing w:val="10"/>
          <w:sz w:val="15"/>
          <w:szCs w:val="15"/>
        </w:rPr>
        <w:t>4</w:t>
      </w:r>
      <w:r>
        <w:rPr>
          <w:rFonts w:hint="eastAsia"/>
          <w:bCs/>
          <w:spacing w:val="10"/>
          <w:sz w:val="15"/>
          <w:szCs w:val="15"/>
        </w:rPr>
        <w:t>、理财产品提前终止、赎回</w:t>
      </w:r>
      <w:r>
        <w:rPr>
          <w:bCs/>
          <w:spacing w:val="10"/>
          <w:sz w:val="15"/>
          <w:szCs w:val="15"/>
        </w:rPr>
        <w:t>/</w:t>
      </w:r>
      <w:r>
        <w:rPr>
          <w:rFonts w:hint="eastAsia"/>
          <w:bCs/>
          <w:spacing w:val="10"/>
          <w:sz w:val="15"/>
          <w:szCs w:val="15"/>
        </w:rPr>
        <w:t>到期兑付和税收。</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提前终止—当理财产品发生全部提前终止时，南银理财和代销机构应当按照对应期次理财产品销售文件约定的方式向投资者告知相应理财产品的提前终止事宜。</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lastRenderedPageBreak/>
        <w:t>赎回</w:t>
      </w:r>
      <w:r>
        <w:rPr>
          <w:bCs/>
          <w:spacing w:val="10"/>
          <w:sz w:val="15"/>
          <w:szCs w:val="15"/>
        </w:rPr>
        <w:t>/</w:t>
      </w:r>
      <w:r>
        <w:rPr>
          <w:rFonts w:hint="eastAsia"/>
          <w:bCs/>
          <w:spacing w:val="10"/>
          <w:sz w:val="15"/>
          <w:szCs w:val="15"/>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rsidR="00CF1BA8" w:rsidRDefault="00CF1BA8" w:rsidP="00CF1BA8">
      <w:pPr>
        <w:widowControl/>
        <w:ind w:leftChars="190" w:left="342"/>
        <w:textAlignment w:val="baseline"/>
        <w:rPr>
          <w:bCs/>
          <w:spacing w:val="10"/>
          <w:sz w:val="15"/>
          <w:szCs w:val="15"/>
        </w:rPr>
      </w:pPr>
      <w:r>
        <w:rPr>
          <w:rFonts w:hint="eastAsia"/>
          <w:bCs/>
          <w:spacing w:val="10"/>
          <w:sz w:val="15"/>
          <w:szCs w:val="15"/>
        </w:rPr>
        <w:t>税收—以对应期次的《理财产品说明书》约定的税务处理方式为准，如遇国家政策调整则相应执行最新政策。</w:t>
      </w:r>
    </w:p>
    <w:p w:rsidR="00CF1BA8" w:rsidRDefault="00CF1BA8" w:rsidP="00CF1BA8">
      <w:pPr>
        <w:pStyle w:val="a8"/>
        <w:spacing w:before="0" w:after="0" w:line="240" w:lineRule="auto"/>
        <w:ind w:firstLineChars="200" w:firstLine="341"/>
        <w:jc w:val="both"/>
        <w:rPr>
          <w:bCs/>
          <w:spacing w:val="10"/>
          <w:sz w:val="15"/>
          <w:szCs w:val="15"/>
        </w:rPr>
      </w:pPr>
      <w:r>
        <w:rPr>
          <w:rFonts w:hint="eastAsia"/>
          <w:b/>
          <w:spacing w:val="10"/>
          <w:sz w:val="15"/>
          <w:szCs w:val="15"/>
        </w:rPr>
        <w:t>第二条</w:t>
      </w:r>
      <w:r>
        <w:rPr>
          <w:b/>
          <w:spacing w:val="10"/>
          <w:sz w:val="15"/>
          <w:szCs w:val="15"/>
        </w:rPr>
        <w:t xml:space="preserve"> </w:t>
      </w:r>
      <w:r>
        <w:rPr>
          <w:rFonts w:hint="eastAsia"/>
          <w:b/>
          <w:spacing w:val="10"/>
          <w:sz w:val="15"/>
          <w:szCs w:val="15"/>
        </w:rPr>
        <w:t>投资者风险承受能力评估流程说明</w:t>
      </w:r>
    </w:p>
    <w:p w:rsidR="00CF1BA8" w:rsidRDefault="00CF1BA8" w:rsidP="00CF1BA8">
      <w:pPr>
        <w:pStyle w:val="a8"/>
        <w:spacing w:before="0" w:after="0" w:line="240" w:lineRule="auto"/>
        <w:ind w:firstLine="341"/>
        <w:jc w:val="both"/>
        <w:rPr>
          <w:b/>
          <w:spacing w:val="10"/>
          <w:sz w:val="15"/>
          <w:szCs w:val="15"/>
        </w:rPr>
      </w:pPr>
      <w:r>
        <w:rPr>
          <w:rFonts w:hint="eastAsia"/>
          <w:b/>
          <w:spacing w:val="10"/>
          <w:sz w:val="15"/>
          <w:szCs w:val="15"/>
        </w:rPr>
        <w:t>（一）个人投资者风险承受能力评估流程说明</w:t>
      </w:r>
    </w:p>
    <w:p w:rsidR="00CF1BA8" w:rsidRDefault="00CF1BA8" w:rsidP="00CF1BA8">
      <w:pPr>
        <w:pStyle w:val="a8"/>
        <w:spacing w:before="0" w:after="0" w:line="240" w:lineRule="auto"/>
        <w:ind w:firstLine="340"/>
        <w:jc w:val="both"/>
        <w:rPr>
          <w:bCs/>
          <w:spacing w:val="10"/>
          <w:sz w:val="15"/>
          <w:szCs w:val="15"/>
        </w:rPr>
      </w:pPr>
      <w:r>
        <w:rPr>
          <w:bCs/>
          <w:spacing w:val="10"/>
          <w:sz w:val="15"/>
          <w:szCs w:val="15"/>
        </w:rPr>
        <w:t>1.</w:t>
      </w:r>
      <w:r>
        <w:rPr>
          <w:rFonts w:hint="eastAsia"/>
          <w:bCs/>
          <w:spacing w:val="10"/>
          <w:sz w:val="15"/>
          <w:szCs w:val="15"/>
        </w:rPr>
        <w:t>个人投资者首次通过销售机构购买理财产品时应根据销售机构的要求进行风险承受能力评估。</w:t>
      </w:r>
    </w:p>
    <w:p w:rsidR="00CF1BA8" w:rsidRDefault="00CF1BA8" w:rsidP="00CF1BA8">
      <w:pPr>
        <w:pStyle w:val="a8"/>
        <w:spacing w:before="0" w:after="0" w:line="240" w:lineRule="auto"/>
        <w:ind w:firstLine="340"/>
        <w:jc w:val="both"/>
        <w:rPr>
          <w:bCs/>
          <w:spacing w:val="10"/>
          <w:sz w:val="15"/>
          <w:szCs w:val="15"/>
        </w:rPr>
      </w:pPr>
      <w:r>
        <w:rPr>
          <w:bCs/>
          <w:spacing w:val="10"/>
          <w:sz w:val="15"/>
          <w:szCs w:val="15"/>
        </w:rPr>
        <w:t>2.</w:t>
      </w:r>
      <w:r>
        <w:rPr>
          <w:rFonts w:hint="eastAsia"/>
          <w:bCs/>
          <w:spacing w:val="10"/>
          <w:sz w:val="15"/>
          <w:szCs w:val="15"/>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rsidR="00CF1BA8" w:rsidRDefault="00CF1BA8" w:rsidP="00CF1BA8">
      <w:pPr>
        <w:pStyle w:val="a8"/>
        <w:spacing w:before="0" w:after="0" w:line="240" w:lineRule="auto"/>
        <w:ind w:firstLine="340"/>
        <w:jc w:val="both"/>
        <w:rPr>
          <w:bCs/>
          <w:spacing w:val="10"/>
          <w:sz w:val="15"/>
          <w:szCs w:val="15"/>
        </w:rPr>
      </w:pPr>
      <w:r>
        <w:rPr>
          <w:bCs/>
          <w:spacing w:val="10"/>
          <w:sz w:val="15"/>
          <w:szCs w:val="15"/>
        </w:rPr>
        <w:t>3.</w:t>
      </w:r>
      <w:r>
        <w:rPr>
          <w:rFonts w:hint="eastAsia"/>
          <w:bCs/>
          <w:spacing w:val="10"/>
          <w:sz w:val="15"/>
          <w:szCs w:val="15"/>
        </w:rPr>
        <w:t>个人投资者风险承受能力评估流程</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w:t>
      </w:r>
      <w:r>
        <w:rPr>
          <w:bCs/>
          <w:spacing w:val="10"/>
          <w:sz w:val="15"/>
          <w:szCs w:val="15"/>
        </w:rPr>
        <w:t>1</w:t>
      </w:r>
      <w:r>
        <w:rPr>
          <w:rFonts w:hint="eastAsia"/>
          <w:bCs/>
          <w:spacing w:val="10"/>
          <w:sz w:val="15"/>
          <w:szCs w:val="15"/>
        </w:rPr>
        <w:t>）个人投资者在销售机构进行风险承受能力评估；</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w:t>
      </w:r>
      <w:r>
        <w:rPr>
          <w:bCs/>
          <w:spacing w:val="10"/>
          <w:sz w:val="15"/>
          <w:szCs w:val="15"/>
        </w:rPr>
        <w:t>2</w:t>
      </w:r>
      <w:r>
        <w:rPr>
          <w:rFonts w:hint="eastAsia"/>
          <w:bCs/>
          <w:spacing w:val="10"/>
          <w:sz w:val="15"/>
          <w:szCs w:val="15"/>
        </w:rPr>
        <w:t>）填写销售机构个人投资者风险承受能力测试问卷；</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w:t>
      </w:r>
      <w:r>
        <w:rPr>
          <w:bCs/>
          <w:spacing w:val="10"/>
          <w:sz w:val="15"/>
          <w:szCs w:val="15"/>
        </w:rPr>
        <w:t>3</w:t>
      </w:r>
      <w:r>
        <w:rPr>
          <w:rFonts w:hint="eastAsia"/>
          <w:bCs/>
          <w:spacing w:val="10"/>
          <w:sz w:val="15"/>
          <w:szCs w:val="15"/>
        </w:rPr>
        <w:t>）生成相应的个人投资者风险承受能力评估结果；</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w:t>
      </w:r>
      <w:r>
        <w:rPr>
          <w:bCs/>
          <w:spacing w:val="10"/>
          <w:sz w:val="15"/>
          <w:szCs w:val="15"/>
        </w:rPr>
        <w:t>4</w:t>
      </w:r>
      <w:r>
        <w:rPr>
          <w:rFonts w:hint="eastAsia"/>
          <w:bCs/>
          <w:spacing w:val="10"/>
          <w:sz w:val="15"/>
          <w:szCs w:val="15"/>
        </w:rPr>
        <w:t>）投资者对评估结果进行确认。</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●特别提示：如个人投资者发生可能影响其自身风险承受能力的情况，再次购买理财产品时应当主动要求销售机构对其进行风险承受能力评估。</w:t>
      </w:r>
    </w:p>
    <w:p w:rsidR="00CF1BA8" w:rsidRDefault="00CF1BA8" w:rsidP="00CF1BA8">
      <w:pPr>
        <w:pStyle w:val="a8"/>
        <w:spacing w:before="0" w:after="0" w:line="240" w:lineRule="auto"/>
        <w:ind w:firstLineChars="200" w:firstLine="340"/>
        <w:rPr>
          <w:bCs/>
          <w:spacing w:val="10"/>
          <w:sz w:val="15"/>
          <w:szCs w:val="15"/>
        </w:rPr>
      </w:pPr>
      <w:r>
        <w:rPr>
          <w:rFonts w:hint="eastAsia"/>
          <w:spacing w:val="10"/>
          <w:sz w:val="15"/>
          <w:szCs w:val="15"/>
        </w:rPr>
        <w:t>评级具体含义说</w:t>
      </w:r>
      <w:r>
        <w:rPr>
          <w:rFonts w:hint="eastAsia"/>
          <w:bCs/>
          <w:spacing w:val="10"/>
          <w:sz w:val="15"/>
          <w:szCs w:val="15"/>
        </w:rPr>
        <w:t>明。投资者风险承受能力评估结果的含义如下：</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（一）低（一级）：风险承受能力弱，以本金不受损失或保持资产流动性为主要目标，对投资收益要求不高，可承受极低的本金损失；</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（二）中低（二级）：风险承受能力较弱，以获取相对稳定的收益为主要目标，愿意承受较低的本金损失；</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（三）中（三级）：风险承受能力中等，以获取稳定收益为主要目标，愿意承受相应的本金损失；</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（四）中高（四级）：风险承受能力较强，以获取较高投资回报为主要目标，愿意承担一定的本金损失；</w:t>
      </w:r>
    </w:p>
    <w:p w:rsidR="00CF1BA8" w:rsidRDefault="00CF1BA8" w:rsidP="00CF1BA8">
      <w:pPr>
        <w:pStyle w:val="a8"/>
        <w:spacing w:before="0" w:after="0" w:line="240" w:lineRule="auto"/>
        <w:ind w:firstLineChars="200" w:firstLine="340"/>
        <w:jc w:val="both"/>
        <w:rPr>
          <w:bCs/>
          <w:spacing w:val="10"/>
          <w:sz w:val="15"/>
          <w:szCs w:val="15"/>
        </w:rPr>
      </w:pPr>
      <w:r>
        <w:rPr>
          <w:rFonts w:hint="eastAsia"/>
          <w:bCs/>
          <w:spacing w:val="10"/>
          <w:sz w:val="15"/>
          <w:szCs w:val="15"/>
        </w:rPr>
        <w:t>（五）高（五级）：风险承受能力强，以获取高投资回报为主要目标，愿意承担较大的本金损失。</w:t>
      </w:r>
    </w:p>
    <w:p w:rsidR="00CF1BA8" w:rsidRDefault="00CF1BA8" w:rsidP="00CF1BA8">
      <w:pPr>
        <w:pStyle w:val="a8"/>
        <w:spacing w:before="0" w:after="0" w:line="240" w:lineRule="auto"/>
        <w:ind w:firstLine="341"/>
        <w:jc w:val="both"/>
        <w:rPr>
          <w:b/>
          <w:spacing w:val="10"/>
          <w:sz w:val="15"/>
          <w:szCs w:val="15"/>
        </w:rPr>
      </w:pPr>
      <w:r>
        <w:rPr>
          <w:rFonts w:hint="eastAsia"/>
          <w:b/>
          <w:spacing w:val="10"/>
          <w:sz w:val="15"/>
          <w:szCs w:val="15"/>
        </w:rPr>
        <w:t>（二）机构投资者风险承受能力评估流程说明</w:t>
      </w:r>
    </w:p>
    <w:p w:rsidR="00CF1BA8" w:rsidRDefault="00CF1BA8" w:rsidP="00CF1BA8">
      <w:pPr>
        <w:pStyle w:val="a8"/>
        <w:spacing w:before="0" w:after="0" w:line="240" w:lineRule="auto"/>
        <w:ind w:firstLine="340"/>
        <w:jc w:val="both"/>
        <w:rPr>
          <w:bCs/>
          <w:spacing w:val="10"/>
          <w:sz w:val="15"/>
          <w:szCs w:val="15"/>
        </w:rPr>
      </w:pPr>
      <w:r>
        <w:rPr>
          <w:rFonts w:hint="eastAsia"/>
          <w:bCs/>
          <w:spacing w:val="10"/>
          <w:sz w:val="15"/>
          <w:szCs w:val="15"/>
        </w:rPr>
        <w:t>机构投资者请根据自身的财务状况、投资经验、投资目标、风险认知、风险判断及其他因素综合考量理财产品的投资风险及自身的风险承受能力。</w:t>
      </w:r>
    </w:p>
    <w:p w:rsidR="00CF1BA8" w:rsidRDefault="00CF1BA8" w:rsidP="00CF1BA8">
      <w:pPr>
        <w:pStyle w:val="a8"/>
        <w:spacing w:before="0" w:after="0" w:line="240" w:lineRule="auto"/>
        <w:ind w:firstLine="341"/>
        <w:jc w:val="both"/>
        <w:rPr>
          <w:bCs/>
          <w:spacing w:val="10"/>
          <w:sz w:val="15"/>
          <w:szCs w:val="15"/>
        </w:rPr>
      </w:pPr>
      <w:r>
        <w:rPr>
          <w:rFonts w:hint="eastAsia"/>
          <w:b/>
          <w:spacing w:val="10"/>
          <w:sz w:val="15"/>
          <w:szCs w:val="15"/>
        </w:rPr>
        <w:t>第三条</w:t>
      </w:r>
      <w:r>
        <w:rPr>
          <w:b/>
          <w:spacing w:val="10"/>
          <w:sz w:val="15"/>
          <w:szCs w:val="15"/>
        </w:rPr>
        <w:t xml:space="preserve"> </w:t>
      </w:r>
      <w:r>
        <w:rPr>
          <w:rFonts w:hint="eastAsia"/>
          <w:b/>
          <w:spacing w:val="10"/>
          <w:sz w:val="15"/>
          <w:szCs w:val="15"/>
        </w:rPr>
        <w:t>理财产品风险等级说明</w:t>
      </w:r>
    </w:p>
    <w:p w:rsidR="00CF1BA8" w:rsidRDefault="00CF1BA8" w:rsidP="00CF1BA8">
      <w:pPr>
        <w:pStyle w:val="a8"/>
        <w:spacing w:before="0" w:after="0" w:line="240" w:lineRule="auto"/>
        <w:ind w:firstLineChars="199" w:firstLine="338"/>
        <w:jc w:val="both"/>
        <w:rPr>
          <w:spacing w:val="10"/>
          <w:sz w:val="15"/>
          <w:szCs w:val="15"/>
        </w:rPr>
      </w:pPr>
      <w:r>
        <w:rPr>
          <w:rFonts w:hint="eastAsia"/>
          <w:spacing w:val="10"/>
          <w:sz w:val="15"/>
          <w:szCs w:val="15"/>
        </w:rPr>
        <w:t>由于理财产品的运行方式和投资范围等不同，其承担的风险程度各有不同，南银理财将其风险等级分为五级，分别为：</w:t>
      </w:r>
      <w:r>
        <w:rPr>
          <w:spacing w:val="10"/>
          <w:sz w:val="15"/>
          <w:szCs w:val="15"/>
        </w:rPr>
        <w:t>PR1</w:t>
      </w:r>
      <w:r>
        <w:rPr>
          <w:rFonts w:hint="eastAsia"/>
          <w:spacing w:val="10"/>
          <w:sz w:val="15"/>
          <w:szCs w:val="15"/>
        </w:rPr>
        <w:t>级（低风险）、</w:t>
      </w:r>
      <w:r>
        <w:rPr>
          <w:spacing w:val="10"/>
          <w:sz w:val="15"/>
          <w:szCs w:val="15"/>
        </w:rPr>
        <w:t>PR2</w:t>
      </w:r>
      <w:r>
        <w:rPr>
          <w:rFonts w:hint="eastAsia"/>
          <w:spacing w:val="10"/>
          <w:sz w:val="15"/>
          <w:szCs w:val="15"/>
        </w:rPr>
        <w:t>级（中低风险）、</w:t>
      </w:r>
      <w:r>
        <w:rPr>
          <w:spacing w:val="10"/>
          <w:sz w:val="15"/>
          <w:szCs w:val="15"/>
        </w:rPr>
        <w:t>PR3</w:t>
      </w:r>
      <w:r>
        <w:rPr>
          <w:rFonts w:hint="eastAsia"/>
          <w:spacing w:val="10"/>
          <w:sz w:val="15"/>
          <w:szCs w:val="15"/>
        </w:rPr>
        <w:t>级（中等风险）、</w:t>
      </w:r>
      <w:r>
        <w:rPr>
          <w:spacing w:val="10"/>
          <w:sz w:val="15"/>
          <w:szCs w:val="15"/>
        </w:rPr>
        <w:t>PR4</w:t>
      </w:r>
      <w:r>
        <w:rPr>
          <w:rFonts w:hint="eastAsia"/>
          <w:spacing w:val="10"/>
          <w:sz w:val="15"/>
          <w:szCs w:val="15"/>
        </w:rPr>
        <w:t>级（中高风险）、</w:t>
      </w:r>
      <w:r>
        <w:rPr>
          <w:spacing w:val="10"/>
          <w:sz w:val="15"/>
          <w:szCs w:val="15"/>
        </w:rPr>
        <w:t>PR5</w:t>
      </w:r>
      <w:r>
        <w:rPr>
          <w:rFonts w:hint="eastAsia"/>
          <w:spacing w:val="10"/>
          <w:sz w:val="15"/>
          <w:szCs w:val="15"/>
        </w:rPr>
        <w:t>级（高风险）。</w:t>
      </w:r>
    </w:p>
    <w:p w:rsidR="00CF1BA8" w:rsidRDefault="00CF1BA8" w:rsidP="00CF1BA8">
      <w:pPr>
        <w:pStyle w:val="a8"/>
        <w:spacing w:before="0" w:after="0" w:line="240" w:lineRule="auto"/>
        <w:ind w:firstLineChars="199" w:firstLine="338"/>
        <w:jc w:val="both"/>
        <w:rPr>
          <w:spacing w:val="10"/>
          <w:sz w:val="15"/>
          <w:szCs w:val="15"/>
        </w:rPr>
      </w:pPr>
      <w:r>
        <w:rPr>
          <w:spacing w:val="10"/>
          <w:sz w:val="15"/>
          <w:szCs w:val="15"/>
        </w:rPr>
        <w:t>PR1</w:t>
      </w:r>
      <w:r>
        <w:rPr>
          <w:rFonts w:hint="eastAsia"/>
          <w:spacing w:val="10"/>
          <w:sz w:val="15"/>
          <w:szCs w:val="15"/>
        </w:rPr>
        <w:t>级（低风险）：管理人不承诺本金保障，产品收益随投资表现变动，产品存在极低的本金损失风险。</w:t>
      </w:r>
    </w:p>
    <w:p w:rsidR="00CF1BA8" w:rsidRDefault="00CF1BA8" w:rsidP="00CF1BA8">
      <w:pPr>
        <w:pStyle w:val="a8"/>
        <w:spacing w:before="0" w:after="0" w:line="240" w:lineRule="auto"/>
        <w:ind w:firstLineChars="199" w:firstLine="338"/>
        <w:jc w:val="both"/>
        <w:rPr>
          <w:spacing w:val="10"/>
          <w:sz w:val="15"/>
          <w:szCs w:val="15"/>
        </w:rPr>
      </w:pPr>
      <w:r>
        <w:rPr>
          <w:spacing w:val="10"/>
          <w:sz w:val="15"/>
          <w:szCs w:val="15"/>
        </w:rPr>
        <w:t>PR2</w:t>
      </w:r>
      <w:r>
        <w:rPr>
          <w:rFonts w:hint="eastAsia"/>
          <w:spacing w:val="10"/>
          <w:sz w:val="15"/>
          <w:szCs w:val="15"/>
        </w:rPr>
        <w:t>级（中低风险）：管理人不承诺本金保障，产品收益随投资表现变动，产品存在较低的本金损失风险。</w:t>
      </w:r>
    </w:p>
    <w:p w:rsidR="00CF1BA8" w:rsidRDefault="00CF1BA8" w:rsidP="00CF1BA8">
      <w:pPr>
        <w:pStyle w:val="a8"/>
        <w:spacing w:before="0" w:after="0" w:line="240" w:lineRule="auto"/>
        <w:ind w:firstLineChars="199" w:firstLine="338"/>
        <w:jc w:val="both"/>
        <w:rPr>
          <w:spacing w:val="10"/>
          <w:sz w:val="15"/>
          <w:szCs w:val="15"/>
        </w:rPr>
      </w:pPr>
      <w:r>
        <w:rPr>
          <w:spacing w:val="10"/>
          <w:sz w:val="15"/>
          <w:szCs w:val="15"/>
        </w:rPr>
        <w:t>PR3</w:t>
      </w:r>
      <w:r>
        <w:rPr>
          <w:rFonts w:hint="eastAsia"/>
          <w:spacing w:val="10"/>
          <w:sz w:val="15"/>
          <w:szCs w:val="15"/>
        </w:rPr>
        <w:t>级（中等风险）：管理人不承诺本金保障，产品收益随投资表现变动，产品存在一定的本金损失风险。</w:t>
      </w:r>
    </w:p>
    <w:p w:rsidR="00CF1BA8" w:rsidRDefault="00CF1BA8" w:rsidP="00CF1BA8">
      <w:pPr>
        <w:pStyle w:val="a8"/>
        <w:spacing w:before="0" w:after="0" w:line="240" w:lineRule="auto"/>
        <w:ind w:firstLineChars="199" w:firstLine="338"/>
        <w:jc w:val="both"/>
        <w:rPr>
          <w:spacing w:val="10"/>
          <w:sz w:val="15"/>
          <w:szCs w:val="15"/>
        </w:rPr>
      </w:pPr>
      <w:r>
        <w:rPr>
          <w:spacing w:val="10"/>
          <w:sz w:val="15"/>
          <w:szCs w:val="15"/>
        </w:rPr>
        <w:t>PR4</w:t>
      </w:r>
      <w:r>
        <w:rPr>
          <w:rFonts w:hint="eastAsia"/>
          <w:spacing w:val="10"/>
          <w:sz w:val="15"/>
          <w:szCs w:val="15"/>
        </w:rPr>
        <w:t>级（中高风险）：管理人不承诺本金保障，产品收益随投资表现变动，产品存在较高的本金损失风险。</w:t>
      </w:r>
    </w:p>
    <w:p w:rsidR="00CF1BA8" w:rsidRDefault="00CF1BA8" w:rsidP="00CF1BA8">
      <w:pPr>
        <w:pStyle w:val="a8"/>
        <w:spacing w:before="0" w:after="0" w:line="240" w:lineRule="auto"/>
        <w:ind w:firstLineChars="198" w:firstLine="337"/>
        <w:jc w:val="both"/>
      </w:pPr>
      <w:r>
        <w:rPr>
          <w:spacing w:val="10"/>
          <w:sz w:val="15"/>
          <w:szCs w:val="15"/>
        </w:rPr>
        <w:t>PR5</w:t>
      </w:r>
      <w:r>
        <w:rPr>
          <w:rFonts w:hint="eastAsia"/>
          <w:spacing w:val="10"/>
          <w:sz w:val="15"/>
          <w:szCs w:val="15"/>
        </w:rPr>
        <w:t>级（高风险）：管理人不承诺本金保障，产品收益随投资表现变动，产品存在极高的本金损失风险，产品本金蒙受全部损失的可能性不容忽视。</w:t>
      </w:r>
    </w:p>
    <w:p w:rsidR="00CF1BA8" w:rsidRDefault="00CF1BA8" w:rsidP="00CF1BA8">
      <w:pPr>
        <w:pStyle w:val="a8"/>
        <w:spacing w:before="0" w:after="0" w:line="240" w:lineRule="auto"/>
        <w:ind w:firstLineChars="199" w:firstLine="338"/>
        <w:jc w:val="both"/>
        <w:rPr>
          <w:spacing w:val="10"/>
          <w:sz w:val="15"/>
          <w:szCs w:val="15"/>
        </w:rPr>
      </w:pPr>
      <w:r>
        <w:rPr>
          <w:rFonts w:hint="eastAsia"/>
          <w:spacing w:val="10"/>
          <w:sz w:val="15"/>
          <w:szCs w:val="15"/>
        </w:rPr>
        <w:t>本风险等级为南银理财风险评级结果，该产品通过代理销售机构渠道销售的，理财产品评级应当以代理销售机构最终披露的评级结果为准。您需充分认识投资风险，谨慎投资。</w:t>
      </w:r>
    </w:p>
    <w:p w:rsidR="00CF1BA8" w:rsidRDefault="00CF1BA8" w:rsidP="00CF1BA8">
      <w:pPr>
        <w:pStyle w:val="a8"/>
        <w:spacing w:before="0" w:after="0" w:line="240" w:lineRule="auto"/>
        <w:ind w:firstLineChars="200" w:firstLine="341"/>
        <w:jc w:val="both"/>
      </w:pPr>
      <w:r>
        <w:rPr>
          <w:rFonts w:hint="eastAsia"/>
          <w:b/>
          <w:spacing w:val="10"/>
          <w:sz w:val="15"/>
          <w:szCs w:val="15"/>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rsidR="00CF1BA8" w:rsidRDefault="00CF1BA8" w:rsidP="00CF1BA8">
      <w:pPr>
        <w:pStyle w:val="a8"/>
        <w:numPr>
          <w:ilvl w:val="0"/>
          <w:numId w:val="16"/>
        </w:numPr>
        <w:spacing w:before="0" w:after="0" w:line="240" w:lineRule="auto"/>
        <w:ind w:firstLineChars="198" w:firstLine="338"/>
        <w:jc w:val="both"/>
        <w:textAlignment w:val="auto"/>
        <w:rPr>
          <w:b/>
          <w:bCs/>
          <w:spacing w:val="10"/>
          <w:sz w:val="15"/>
          <w:szCs w:val="15"/>
        </w:rPr>
      </w:pPr>
      <w:r>
        <w:rPr>
          <w:rFonts w:hint="eastAsia"/>
          <w:b/>
          <w:bCs/>
          <w:spacing w:val="10"/>
          <w:sz w:val="15"/>
          <w:szCs w:val="15"/>
        </w:rPr>
        <w:t>个人投资者风险承受能力等级与适合购买的理财产品说明</w:t>
      </w:r>
    </w:p>
    <w:p w:rsidR="00CF1BA8" w:rsidRDefault="00CF1BA8" w:rsidP="00CF1BA8">
      <w:pPr>
        <w:pStyle w:val="a8"/>
        <w:spacing w:before="0" w:after="0" w:line="240" w:lineRule="auto"/>
        <w:ind w:firstLineChars="198" w:firstLine="338"/>
        <w:jc w:val="both"/>
        <w:rPr>
          <w:b/>
          <w:bCs/>
          <w:spacing w:val="10"/>
          <w:sz w:val="15"/>
          <w:szCs w:val="15"/>
        </w:rPr>
      </w:pPr>
    </w:p>
    <w:p w:rsidR="00CF1BA8" w:rsidRDefault="00CF1BA8" w:rsidP="00CF1BA8">
      <w:pPr>
        <w:pStyle w:val="a8"/>
        <w:spacing w:before="0" w:after="0" w:line="240" w:lineRule="auto"/>
        <w:ind w:firstLineChars="198" w:firstLine="338"/>
        <w:jc w:val="both"/>
        <w:rPr>
          <w:b/>
          <w:bCs/>
          <w:spacing w:val="10"/>
          <w:sz w:val="15"/>
          <w:szCs w:val="15"/>
        </w:rPr>
      </w:pPr>
    </w:p>
    <w:p w:rsidR="00CF1BA8" w:rsidRDefault="00CF1BA8" w:rsidP="00CF1BA8">
      <w:pPr>
        <w:pStyle w:val="a8"/>
        <w:spacing w:before="0" w:after="0" w:line="240" w:lineRule="auto"/>
        <w:ind w:firstLineChars="198" w:firstLine="338"/>
        <w:jc w:val="both"/>
        <w:rPr>
          <w:b/>
          <w:bCs/>
          <w:spacing w:val="10"/>
          <w:sz w:val="15"/>
          <w:szCs w:val="15"/>
        </w:rPr>
      </w:pPr>
    </w:p>
    <w:tbl>
      <w:tblPr>
        <w:tblW w:w="5790" w:type="dxa"/>
        <w:jc w:val="center"/>
        <w:tblLayout w:type="fixed"/>
        <w:tblLook w:val="04A0" w:firstRow="1" w:lastRow="0" w:firstColumn="1" w:lastColumn="0" w:noHBand="0" w:noVBand="1"/>
      </w:tblPr>
      <w:tblGrid>
        <w:gridCol w:w="1865"/>
        <w:gridCol w:w="740"/>
        <w:gridCol w:w="815"/>
        <w:gridCol w:w="815"/>
        <w:gridCol w:w="815"/>
        <w:gridCol w:w="740"/>
      </w:tblGrid>
      <w:tr w:rsidR="00CF1BA8" w:rsidTr="00CF1BA8">
        <w:trPr>
          <w:trHeight w:val="178"/>
          <w:jc w:val="center"/>
        </w:trPr>
        <w:tc>
          <w:tcPr>
            <w:tcW w:w="1866" w:type="dxa"/>
            <w:vMerge w:val="restart"/>
            <w:tcBorders>
              <w:top w:val="single" w:sz="4" w:space="0" w:color="auto"/>
              <w:left w:val="single" w:sz="4" w:space="0" w:color="auto"/>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个人投资者风险承受能力</w:t>
            </w:r>
          </w:p>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等级</w:t>
            </w:r>
          </w:p>
        </w:tc>
        <w:tc>
          <w:tcPr>
            <w:tcW w:w="3930" w:type="dxa"/>
            <w:gridSpan w:val="5"/>
            <w:tcBorders>
              <w:top w:val="single" w:sz="4" w:space="0" w:color="auto"/>
              <w:left w:val="nil"/>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南银理财理财产品风险等级</w:t>
            </w:r>
          </w:p>
        </w:tc>
      </w:tr>
      <w:tr w:rsidR="00CF1BA8" w:rsidTr="00CF1BA8">
        <w:trPr>
          <w:trHeight w:val="735"/>
          <w:jc w:val="center"/>
        </w:trPr>
        <w:tc>
          <w:tcPr>
            <w:tcW w:w="1866" w:type="dxa"/>
            <w:vMerge/>
            <w:tcBorders>
              <w:top w:val="single" w:sz="4" w:space="0" w:color="auto"/>
              <w:left w:val="single" w:sz="4" w:space="0" w:color="auto"/>
              <w:bottom w:val="single" w:sz="4" w:space="0" w:color="auto"/>
              <w:right w:val="single" w:sz="4" w:space="0" w:color="auto"/>
            </w:tcBorders>
            <w:vAlign w:val="center"/>
            <w:hideMark/>
          </w:tcPr>
          <w:p w:rsidR="00CF1BA8" w:rsidRDefault="00CF1BA8">
            <w:pPr>
              <w:widowControl/>
              <w:jc w:val="left"/>
              <w:rPr>
                <w:rFonts w:ascii="宋体" w:hAnsi="宋体" w:cs="宋体"/>
                <w:kern w:val="0"/>
                <w:sz w:val="15"/>
                <w:szCs w:val="15"/>
              </w:rPr>
            </w:pPr>
          </w:p>
        </w:tc>
        <w:tc>
          <w:tcPr>
            <w:tcW w:w="741" w:type="dxa"/>
            <w:tcBorders>
              <w:top w:val="single" w:sz="4" w:space="0" w:color="auto"/>
              <w:left w:val="nil"/>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低风险</w:t>
            </w:r>
          </w:p>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（PR1）</w:t>
            </w:r>
          </w:p>
        </w:tc>
        <w:tc>
          <w:tcPr>
            <w:tcW w:w="816" w:type="dxa"/>
            <w:tcBorders>
              <w:top w:val="single" w:sz="4" w:space="0" w:color="auto"/>
              <w:left w:val="nil"/>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中低风险</w:t>
            </w:r>
          </w:p>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（PR2）</w:t>
            </w:r>
          </w:p>
        </w:tc>
        <w:tc>
          <w:tcPr>
            <w:tcW w:w="816" w:type="dxa"/>
            <w:tcBorders>
              <w:top w:val="single" w:sz="4" w:space="0" w:color="auto"/>
              <w:left w:val="nil"/>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中等风险</w:t>
            </w:r>
          </w:p>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（PR3）</w:t>
            </w:r>
          </w:p>
        </w:tc>
        <w:tc>
          <w:tcPr>
            <w:tcW w:w="816" w:type="dxa"/>
            <w:tcBorders>
              <w:top w:val="single" w:sz="4" w:space="0" w:color="auto"/>
              <w:left w:val="nil"/>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中高风险</w:t>
            </w:r>
          </w:p>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（PR4）</w:t>
            </w:r>
          </w:p>
        </w:tc>
        <w:tc>
          <w:tcPr>
            <w:tcW w:w="741" w:type="dxa"/>
            <w:tcBorders>
              <w:top w:val="single" w:sz="4" w:space="0" w:color="auto"/>
              <w:left w:val="nil"/>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高风险</w:t>
            </w:r>
          </w:p>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（PR5）</w:t>
            </w:r>
          </w:p>
        </w:tc>
      </w:tr>
      <w:tr w:rsidR="00CF1BA8" w:rsidTr="00CF1BA8">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hint="eastAsia"/>
                <w:bCs/>
                <w:spacing w:val="10"/>
                <w:sz w:val="15"/>
                <w:szCs w:val="15"/>
              </w:rPr>
              <w:t>高（五级）</w:t>
            </w:r>
          </w:p>
        </w:tc>
        <w:tc>
          <w:tcPr>
            <w:tcW w:w="741"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r>
      <w:tr w:rsidR="00CF1BA8" w:rsidTr="00CF1BA8">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hint="eastAsia"/>
                <w:bCs/>
                <w:spacing w:val="10"/>
                <w:sz w:val="15"/>
                <w:szCs w:val="15"/>
              </w:rPr>
              <w:lastRenderedPageBreak/>
              <w:t>中高（四级）</w:t>
            </w:r>
          </w:p>
        </w:tc>
        <w:tc>
          <w:tcPr>
            <w:tcW w:w="741"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vAlign w:val="center"/>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r>
      <w:tr w:rsidR="00CF1BA8" w:rsidTr="00CF1BA8">
        <w:trPr>
          <w:trHeight w:val="270"/>
          <w:jc w:val="center"/>
        </w:trPr>
        <w:tc>
          <w:tcPr>
            <w:tcW w:w="1866" w:type="dxa"/>
            <w:tcBorders>
              <w:top w:val="nil"/>
              <w:left w:val="single" w:sz="4" w:space="0" w:color="auto"/>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hint="eastAsia"/>
                <w:bCs/>
                <w:spacing w:val="10"/>
                <w:sz w:val="15"/>
                <w:szCs w:val="15"/>
              </w:rPr>
              <w:t>中（三级）</w:t>
            </w:r>
          </w:p>
        </w:tc>
        <w:tc>
          <w:tcPr>
            <w:tcW w:w="741"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nil"/>
              <w:left w:val="nil"/>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nil"/>
              <w:left w:val="nil"/>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r>
      <w:tr w:rsidR="00CF1BA8" w:rsidTr="00CF1BA8">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中低（二级）</w:t>
            </w:r>
          </w:p>
        </w:tc>
        <w:tc>
          <w:tcPr>
            <w:tcW w:w="741" w:type="dxa"/>
            <w:tcBorders>
              <w:top w:val="single" w:sz="4" w:space="0" w:color="auto"/>
              <w:left w:val="single" w:sz="4" w:space="0" w:color="auto"/>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shd w:val="clear" w:color="auto" w:fill="C0504D"/>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r>
      <w:tr w:rsidR="00CF1BA8" w:rsidTr="00CF1BA8">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hideMark/>
          </w:tcPr>
          <w:p w:rsidR="00CF1BA8" w:rsidRDefault="00CF1BA8">
            <w:pPr>
              <w:widowControl/>
              <w:snapToGrid w:val="0"/>
              <w:jc w:val="center"/>
              <w:rPr>
                <w:rFonts w:ascii="宋体" w:hAnsi="宋体" w:cs="宋体"/>
                <w:kern w:val="0"/>
                <w:sz w:val="15"/>
                <w:szCs w:val="15"/>
              </w:rPr>
            </w:pPr>
            <w:r>
              <w:rPr>
                <w:rFonts w:ascii="宋体" w:hAnsi="宋体" w:cs="宋体" w:hint="eastAsia"/>
                <w:kern w:val="0"/>
                <w:sz w:val="15"/>
                <w:szCs w:val="15"/>
              </w:rPr>
              <w:t>低（一级）</w:t>
            </w:r>
          </w:p>
        </w:tc>
        <w:tc>
          <w:tcPr>
            <w:tcW w:w="741" w:type="dxa"/>
            <w:tcBorders>
              <w:top w:val="single" w:sz="4" w:space="0" w:color="auto"/>
              <w:left w:val="single" w:sz="4" w:space="0" w:color="auto"/>
              <w:bottom w:val="single" w:sz="4" w:space="0" w:color="auto"/>
              <w:right w:val="single" w:sz="4" w:space="0" w:color="auto"/>
            </w:tcBorders>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816" w:type="dxa"/>
            <w:tcBorders>
              <w:top w:val="single" w:sz="4" w:space="0" w:color="auto"/>
              <w:left w:val="single" w:sz="4" w:space="0" w:color="auto"/>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c>
          <w:tcPr>
            <w:tcW w:w="741" w:type="dxa"/>
            <w:tcBorders>
              <w:top w:val="single" w:sz="4" w:space="0" w:color="auto"/>
              <w:left w:val="single" w:sz="4" w:space="0" w:color="auto"/>
              <w:bottom w:val="single" w:sz="4" w:space="0" w:color="auto"/>
              <w:right w:val="single" w:sz="4" w:space="0" w:color="auto"/>
            </w:tcBorders>
            <w:shd w:val="clear" w:color="auto" w:fill="C0504D"/>
            <w:hideMark/>
          </w:tcPr>
          <w:p w:rsidR="00CF1BA8" w:rsidRDefault="00CF1BA8">
            <w:pPr>
              <w:widowControl/>
              <w:snapToGrid w:val="0"/>
              <w:jc w:val="center"/>
              <w:rPr>
                <w:rFonts w:ascii="宋体" w:hAnsi="宋体" w:cs="宋体"/>
                <w:kern w:val="0"/>
                <w:sz w:val="15"/>
                <w:szCs w:val="15"/>
              </w:rPr>
            </w:pPr>
            <w:r>
              <w:rPr>
                <w:rFonts w:hint="eastAsia"/>
                <w:spacing w:val="10"/>
                <w:sz w:val="15"/>
                <w:szCs w:val="15"/>
              </w:rPr>
              <w:t>×</w:t>
            </w:r>
          </w:p>
        </w:tc>
      </w:tr>
    </w:tbl>
    <w:p w:rsidR="00CF1BA8" w:rsidRDefault="00CF1BA8" w:rsidP="00CF1BA8">
      <w:pPr>
        <w:pStyle w:val="a8"/>
        <w:spacing w:before="0" w:after="0" w:line="240" w:lineRule="auto"/>
        <w:ind w:firstLineChars="200" w:firstLine="340"/>
        <w:jc w:val="center"/>
        <w:rPr>
          <w:b/>
          <w:spacing w:val="10"/>
          <w:sz w:val="15"/>
          <w:szCs w:val="15"/>
        </w:rPr>
      </w:pPr>
      <w:r>
        <w:rPr>
          <w:rFonts w:hint="eastAsia"/>
          <w:spacing w:val="10"/>
          <w:sz w:val="15"/>
          <w:szCs w:val="15"/>
        </w:rPr>
        <w:t>备注：√代表可以购买；×代表不能购买。</w:t>
      </w:r>
    </w:p>
    <w:p w:rsidR="00CF1BA8" w:rsidRDefault="00CF1BA8" w:rsidP="00CF1BA8">
      <w:pPr>
        <w:pStyle w:val="a8"/>
        <w:spacing w:before="0" w:after="0" w:line="240" w:lineRule="auto"/>
        <w:ind w:firstLineChars="200" w:firstLine="341"/>
        <w:rPr>
          <w:b/>
          <w:spacing w:val="10"/>
          <w:sz w:val="15"/>
          <w:szCs w:val="15"/>
        </w:rPr>
      </w:pPr>
      <w:r>
        <w:rPr>
          <w:rFonts w:hint="eastAsia"/>
          <w:b/>
          <w:spacing w:val="10"/>
          <w:sz w:val="15"/>
          <w:szCs w:val="15"/>
        </w:rPr>
        <w:t>第五条</w:t>
      </w:r>
      <w:r>
        <w:rPr>
          <w:b/>
          <w:spacing w:val="10"/>
          <w:sz w:val="15"/>
          <w:szCs w:val="15"/>
        </w:rPr>
        <w:t xml:space="preserve"> </w:t>
      </w:r>
      <w:r>
        <w:rPr>
          <w:rFonts w:hint="eastAsia"/>
          <w:b/>
          <w:spacing w:val="10"/>
          <w:sz w:val="15"/>
          <w:szCs w:val="15"/>
        </w:rPr>
        <w:t>理财产品信息披露的方式、渠道和频率说明</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南银理财按照对应期次《理财产品说明书》约定的方式、渠道和频率进行信息披露。投资者应密切关注与本理财产品有关的信息披露，以免造成不必要的损失。</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投资者预留在南银理财或销售机构的有效联系方式变更的，应及时通知南银理财或销售机构。</w:t>
      </w:r>
      <w:r>
        <w:rPr>
          <w:rFonts w:hint="eastAsia"/>
          <w:b/>
          <w:spacing w:val="10"/>
          <w:sz w:val="15"/>
          <w:szCs w:val="15"/>
        </w:rPr>
        <w:t>如投资者未及时告知南银理财或销售机构联系方式变更，造成南银理财或销售机构在需要时无法联系投资者，并由此影响投资者的投资决策，因此而产生的责任和风险由投资者自行承担。</w:t>
      </w:r>
    </w:p>
    <w:p w:rsidR="00CF1BA8" w:rsidRDefault="00CF1BA8" w:rsidP="00CF1BA8">
      <w:pPr>
        <w:pStyle w:val="a8"/>
        <w:spacing w:before="0" w:after="0" w:line="240" w:lineRule="auto"/>
        <w:ind w:firstLineChars="200" w:firstLine="341"/>
        <w:rPr>
          <w:bCs/>
          <w:spacing w:val="10"/>
          <w:sz w:val="15"/>
          <w:szCs w:val="15"/>
        </w:rPr>
      </w:pPr>
      <w:r>
        <w:rPr>
          <w:rFonts w:hint="eastAsia"/>
          <w:b/>
          <w:spacing w:val="10"/>
          <w:sz w:val="15"/>
          <w:szCs w:val="15"/>
        </w:rPr>
        <w:t>第六条</w:t>
      </w:r>
      <w:r>
        <w:rPr>
          <w:b/>
          <w:spacing w:val="10"/>
          <w:sz w:val="15"/>
          <w:szCs w:val="15"/>
        </w:rPr>
        <w:t xml:space="preserve"> </w:t>
      </w:r>
      <w:r>
        <w:rPr>
          <w:rFonts w:hint="eastAsia"/>
          <w:b/>
          <w:spacing w:val="10"/>
          <w:sz w:val="15"/>
          <w:szCs w:val="15"/>
        </w:rPr>
        <w:t>投资者信息保护</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南银理财及销售机构承诺依法履行投资者信息保密义务，防范投资者信息被不当采集、使用、传输和泄露，保护投资者的信息安全，法律法规另有规定，或有权机关另有要求的情形除外。</w:t>
      </w:r>
    </w:p>
    <w:p w:rsidR="00CF1BA8" w:rsidRDefault="00CF1BA8" w:rsidP="00CF1BA8">
      <w:pPr>
        <w:pStyle w:val="a8"/>
        <w:spacing w:before="0" w:after="0" w:line="240" w:lineRule="auto"/>
        <w:ind w:firstLineChars="200" w:firstLine="341"/>
        <w:rPr>
          <w:b/>
          <w:spacing w:val="10"/>
          <w:sz w:val="15"/>
          <w:szCs w:val="15"/>
        </w:rPr>
      </w:pPr>
      <w:r>
        <w:rPr>
          <w:rFonts w:hint="eastAsia"/>
          <w:b/>
          <w:spacing w:val="10"/>
          <w:sz w:val="15"/>
          <w:szCs w:val="15"/>
        </w:rPr>
        <w:t>第七条</w:t>
      </w:r>
      <w:r>
        <w:rPr>
          <w:b/>
          <w:spacing w:val="10"/>
          <w:sz w:val="15"/>
          <w:szCs w:val="15"/>
        </w:rPr>
        <w:t xml:space="preserve"> </w:t>
      </w:r>
      <w:r>
        <w:rPr>
          <w:rFonts w:hint="eastAsia"/>
          <w:b/>
          <w:spacing w:val="10"/>
          <w:sz w:val="15"/>
          <w:szCs w:val="15"/>
        </w:rPr>
        <w:t>投资者投诉的方式和程序</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投资者若需针对产品的设计、成立、运作、到期清算或提前终止等事项进行投诉，</w:t>
      </w:r>
      <w:r>
        <w:rPr>
          <w:rFonts w:hint="eastAsia"/>
          <w:b/>
          <w:spacing w:val="10"/>
          <w:sz w:val="15"/>
          <w:szCs w:val="15"/>
        </w:rPr>
        <w:t>可与管理人或销售机构联系，管理人或销售机构将及时接听、记录投资者的意见或建议，并与投资者协商共同解决</w:t>
      </w:r>
      <w:r>
        <w:rPr>
          <w:rFonts w:hint="eastAsia"/>
          <w:bCs/>
          <w:spacing w:val="10"/>
          <w:sz w:val="15"/>
          <w:szCs w:val="15"/>
        </w:rPr>
        <w:t>。</w:t>
      </w:r>
    </w:p>
    <w:p w:rsidR="00CF1BA8" w:rsidRDefault="00CF1BA8" w:rsidP="00CF1BA8">
      <w:pPr>
        <w:pStyle w:val="a8"/>
        <w:spacing w:before="0" w:after="0" w:line="240" w:lineRule="auto"/>
        <w:ind w:firstLineChars="200" w:firstLine="341"/>
        <w:rPr>
          <w:b/>
          <w:spacing w:val="10"/>
          <w:sz w:val="15"/>
          <w:szCs w:val="15"/>
        </w:rPr>
      </w:pPr>
      <w:r>
        <w:rPr>
          <w:rFonts w:hint="eastAsia"/>
          <w:b/>
          <w:spacing w:val="10"/>
          <w:sz w:val="15"/>
          <w:szCs w:val="15"/>
        </w:rPr>
        <w:t>第八条</w:t>
      </w:r>
      <w:r>
        <w:rPr>
          <w:b/>
          <w:spacing w:val="10"/>
          <w:sz w:val="15"/>
          <w:szCs w:val="15"/>
        </w:rPr>
        <w:t xml:space="preserve"> </w:t>
      </w:r>
      <w:r>
        <w:rPr>
          <w:rFonts w:hint="eastAsia"/>
          <w:b/>
          <w:spacing w:val="10"/>
          <w:sz w:val="15"/>
          <w:szCs w:val="15"/>
        </w:rPr>
        <w:t>联系方式</w:t>
      </w:r>
    </w:p>
    <w:p w:rsidR="00CF1BA8" w:rsidRDefault="00CF1BA8" w:rsidP="00CF1BA8">
      <w:pPr>
        <w:pStyle w:val="a8"/>
        <w:spacing w:before="0" w:after="0" w:line="240" w:lineRule="auto"/>
        <w:ind w:firstLineChars="200" w:firstLine="341"/>
        <w:rPr>
          <w:b/>
          <w:spacing w:val="10"/>
          <w:sz w:val="15"/>
          <w:szCs w:val="15"/>
        </w:rPr>
      </w:pPr>
      <w:r>
        <w:rPr>
          <w:rFonts w:hint="eastAsia"/>
          <w:b/>
          <w:spacing w:val="10"/>
          <w:sz w:val="15"/>
          <w:szCs w:val="15"/>
        </w:rPr>
        <w:t>在购买本理财产品前，请投资者确保完全明白本理财产品的性质、其中涉及的风险以及投资者的自身情况。投资者若对理财产品销售文件的内容有任何疑问，请向南银理财或销售机构各营业场所或营业网点咨询。联系方式分别如下：</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（一）南银理财联系方式</w:t>
      </w:r>
    </w:p>
    <w:p w:rsidR="00CF1BA8" w:rsidRDefault="00CF1BA8" w:rsidP="00CF1BA8">
      <w:pPr>
        <w:pStyle w:val="a8"/>
        <w:spacing w:before="0" w:after="0" w:line="240" w:lineRule="auto"/>
        <w:ind w:left="340" w:firstLine="340"/>
        <w:rPr>
          <w:bCs/>
          <w:spacing w:val="10"/>
          <w:sz w:val="15"/>
          <w:szCs w:val="15"/>
        </w:rPr>
      </w:pPr>
      <w:r>
        <w:rPr>
          <w:rFonts w:hint="eastAsia"/>
          <w:bCs/>
          <w:spacing w:val="10"/>
          <w:sz w:val="15"/>
          <w:szCs w:val="15"/>
        </w:rPr>
        <w:t>地址：南京市建邺区奥体大街</w:t>
      </w:r>
      <w:r>
        <w:rPr>
          <w:bCs/>
          <w:spacing w:val="10"/>
          <w:sz w:val="15"/>
          <w:szCs w:val="15"/>
        </w:rPr>
        <w:t>68</w:t>
      </w:r>
      <w:r>
        <w:rPr>
          <w:rFonts w:hint="eastAsia"/>
          <w:bCs/>
          <w:spacing w:val="10"/>
          <w:sz w:val="15"/>
          <w:szCs w:val="15"/>
        </w:rPr>
        <w:t>号国际研发总部园</w:t>
      </w:r>
      <w:r>
        <w:rPr>
          <w:bCs/>
          <w:spacing w:val="10"/>
          <w:sz w:val="15"/>
          <w:szCs w:val="15"/>
        </w:rPr>
        <w:t>2</w:t>
      </w:r>
      <w:r>
        <w:rPr>
          <w:rFonts w:hint="eastAsia"/>
          <w:bCs/>
          <w:spacing w:val="10"/>
          <w:sz w:val="15"/>
          <w:szCs w:val="15"/>
        </w:rPr>
        <w:t>栋</w:t>
      </w:r>
      <w:r>
        <w:rPr>
          <w:bCs/>
          <w:spacing w:val="10"/>
          <w:sz w:val="15"/>
          <w:szCs w:val="15"/>
        </w:rPr>
        <w:t>13</w:t>
      </w:r>
      <w:r>
        <w:rPr>
          <w:rFonts w:hint="eastAsia"/>
          <w:bCs/>
          <w:spacing w:val="10"/>
          <w:sz w:val="15"/>
          <w:szCs w:val="15"/>
        </w:rPr>
        <w:t>、</w:t>
      </w:r>
      <w:r>
        <w:rPr>
          <w:bCs/>
          <w:spacing w:val="10"/>
          <w:sz w:val="15"/>
          <w:szCs w:val="15"/>
        </w:rPr>
        <w:t>14</w:t>
      </w:r>
      <w:r>
        <w:rPr>
          <w:rFonts w:hint="eastAsia"/>
          <w:bCs/>
          <w:spacing w:val="10"/>
          <w:sz w:val="15"/>
          <w:szCs w:val="15"/>
        </w:rPr>
        <w:t>楼</w:t>
      </w:r>
    </w:p>
    <w:p w:rsidR="00CF1BA8" w:rsidRDefault="00CF1BA8" w:rsidP="00CF1BA8">
      <w:pPr>
        <w:pStyle w:val="a8"/>
        <w:spacing w:before="0" w:after="0" w:line="240" w:lineRule="auto"/>
        <w:ind w:left="340" w:firstLine="340"/>
        <w:rPr>
          <w:bCs/>
          <w:spacing w:val="10"/>
          <w:sz w:val="15"/>
          <w:szCs w:val="15"/>
        </w:rPr>
      </w:pPr>
      <w:r>
        <w:rPr>
          <w:rFonts w:hint="eastAsia"/>
          <w:bCs/>
          <w:spacing w:val="10"/>
          <w:sz w:val="15"/>
          <w:szCs w:val="15"/>
        </w:rPr>
        <w:t>电话：</w:t>
      </w:r>
      <w:r>
        <w:rPr>
          <w:bCs/>
          <w:spacing w:val="10"/>
          <w:sz w:val="15"/>
          <w:szCs w:val="15"/>
        </w:rPr>
        <w:t xml:space="preserve">4001195302 </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（二）销售机构联系方式</w:t>
      </w:r>
    </w:p>
    <w:p w:rsidR="00CF1BA8" w:rsidRDefault="00CF1BA8" w:rsidP="00CF1BA8">
      <w:pPr>
        <w:pStyle w:val="a8"/>
        <w:spacing w:before="0" w:after="0" w:line="240" w:lineRule="auto"/>
        <w:ind w:firstLineChars="200" w:firstLine="340"/>
        <w:rPr>
          <w:bCs/>
          <w:spacing w:val="10"/>
          <w:sz w:val="15"/>
          <w:szCs w:val="15"/>
        </w:rPr>
      </w:pPr>
      <w:r>
        <w:rPr>
          <w:rFonts w:hint="eastAsia"/>
          <w:bCs/>
          <w:spacing w:val="10"/>
          <w:sz w:val="15"/>
          <w:szCs w:val="15"/>
        </w:rPr>
        <w:t>官方网站：</w:t>
      </w:r>
      <w:r>
        <w:rPr>
          <w:bCs/>
          <w:spacing w:val="10"/>
          <w:sz w:val="15"/>
          <w:szCs w:val="15"/>
        </w:rPr>
        <w:t>www.njcb.com.cn</w:t>
      </w:r>
    </w:p>
    <w:p w:rsidR="00CF1BA8" w:rsidRDefault="00CF1BA8" w:rsidP="00CF1BA8">
      <w:pPr>
        <w:pStyle w:val="a8"/>
        <w:spacing w:before="0" w:after="0" w:line="240" w:lineRule="auto"/>
        <w:ind w:firstLineChars="200" w:firstLine="340"/>
        <w:rPr>
          <w:b/>
          <w:spacing w:val="10"/>
          <w:sz w:val="15"/>
          <w:szCs w:val="15"/>
          <w:u w:val="single"/>
        </w:rPr>
      </w:pPr>
      <w:r>
        <w:rPr>
          <w:rFonts w:hint="eastAsia"/>
          <w:bCs/>
          <w:spacing w:val="10"/>
          <w:sz w:val="15"/>
          <w:szCs w:val="15"/>
        </w:rPr>
        <w:t>全国统一客服热线：</w:t>
      </w:r>
      <w:r>
        <w:rPr>
          <w:bCs/>
          <w:spacing w:val="10"/>
          <w:sz w:val="15"/>
          <w:szCs w:val="15"/>
        </w:rPr>
        <w:t>95302</w:t>
      </w:r>
    </w:p>
    <w:p w:rsidR="00CF1BA8" w:rsidRDefault="00CF1BA8" w:rsidP="00CF1BA8">
      <w:pPr>
        <w:pStyle w:val="a8"/>
        <w:spacing w:before="0" w:after="0" w:line="240" w:lineRule="auto"/>
        <w:ind w:firstLineChars="200" w:firstLine="341"/>
        <w:rPr>
          <w:b/>
          <w:spacing w:val="10"/>
          <w:sz w:val="15"/>
          <w:szCs w:val="15"/>
        </w:rPr>
      </w:pPr>
    </w:p>
    <w:p w:rsidR="00CF1BA8" w:rsidRDefault="00CF1BA8" w:rsidP="00CF1BA8">
      <w:pPr>
        <w:pStyle w:val="a8"/>
        <w:spacing w:before="0" w:after="0" w:line="240" w:lineRule="auto"/>
        <w:ind w:firstLine="341"/>
        <w:jc w:val="both"/>
        <w:rPr>
          <w:b/>
          <w:spacing w:val="10"/>
          <w:sz w:val="15"/>
          <w:szCs w:val="15"/>
          <w:u w:val="single"/>
        </w:rPr>
      </w:pPr>
    </w:p>
    <w:p w:rsidR="00CF1BA8" w:rsidRDefault="00CF1BA8" w:rsidP="00CF1BA8">
      <w:pPr>
        <w:pStyle w:val="a8"/>
        <w:spacing w:before="0" w:after="0" w:line="240" w:lineRule="auto"/>
        <w:ind w:firstLine="341"/>
        <w:jc w:val="center"/>
        <w:rPr>
          <w:b/>
          <w:spacing w:val="10"/>
          <w:sz w:val="15"/>
          <w:szCs w:val="15"/>
          <w:u w:val="single"/>
        </w:rPr>
      </w:pPr>
      <w:r>
        <w:rPr>
          <w:rFonts w:hint="eastAsia"/>
          <w:b/>
          <w:spacing w:val="10"/>
          <w:sz w:val="15"/>
          <w:szCs w:val="15"/>
          <w:u w:val="single"/>
        </w:rPr>
        <w:t>仔细阅读提示</w:t>
      </w:r>
    </w:p>
    <w:p w:rsidR="00CF1BA8" w:rsidRDefault="00CF1BA8" w:rsidP="00CF1BA8">
      <w:pPr>
        <w:ind w:firstLineChars="200" w:firstLine="341"/>
        <w:rPr>
          <w:b/>
          <w:spacing w:val="10"/>
          <w:sz w:val="15"/>
          <w:szCs w:val="15"/>
          <w:u w:val="single"/>
        </w:rPr>
      </w:pPr>
      <w:r>
        <w:rPr>
          <w:rFonts w:hint="eastAsia"/>
          <w:b/>
          <w:spacing w:val="10"/>
          <w:sz w:val="15"/>
          <w:szCs w:val="15"/>
          <w:u w:val="single"/>
        </w:rPr>
        <w:t>请投资者务必仔细阅读本理财产品销售文件，包括但不限于本理财产品对应的《理财产品销售协议书》《理财产品说明书》《理财产品风险揭示书》《投资者权益须知》《理财产品投资协议书》等，了解理财产品具体情况，关注投资风险，自主决定是否投资。</w:t>
      </w:r>
    </w:p>
    <w:p w:rsidR="00CF1BA8" w:rsidRDefault="00CF1BA8" w:rsidP="00CF1BA8">
      <w:pPr>
        <w:widowControl/>
        <w:jc w:val="left"/>
        <w:rPr>
          <w:b/>
          <w:spacing w:val="10"/>
          <w:kern w:val="0"/>
          <w:sz w:val="15"/>
          <w:szCs w:val="15"/>
          <w:u w:val="single"/>
        </w:rPr>
        <w:sectPr w:rsidR="00CF1BA8">
          <w:pgSz w:w="11906" w:h="16838"/>
          <w:pgMar w:top="720" w:right="720" w:bottom="720" w:left="720" w:header="851" w:footer="992" w:gutter="0"/>
          <w:cols w:space="720"/>
          <w:docGrid w:type="lines" w:linePitch="312"/>
        </w:sect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r>
        <w:rPr>
          <w:rFonts w:eastAsia="黑体" w:hint="eastAsia"/>
          <w:b/>
          <w:bCs/>
          <w:sz w:val="24"/>
          <w:szCs w:val="15"/>
        </w:rPr>
        <w:t>理财产品销售协议书</w:t>
      </w:r>
    </w:p>
    <w:p w:rsidR="00CF1BA8" w:rsidRDefault="00CF1BA8" w:rsidP="00CF1BA8">
      <w:pPr>
        <w:tabs>
          <w:tab w:val="left" w:pos="0"/>
        </w:tabs>
        <w:jc w:val="center"/>
        <w:rPr>
          <w:szCs w:val="21"/>
        </w:rPr>
      </w:pPr>
    </w:p>
    <w:p w:rsidR="00CF1BA8" w:rsidRDefault="00CF1BA8" w:rsidP="00CF1BA8">
      <w:pPr>
        <w:tabs>
          <w:tab w:val="left" w:pos="0"/>
        </w:tabs>
        <w:jc w:val="center"/>
        <w:rPr>
          <w:szCs w:val="21"/>
        </w:rPr>
      </w:pPr>
    </w:p>
    <w:p w:rsidR="00CF1BA8" w:rsidRDefault="00CF1BA8" w:rsidP="00CF1BA8">
      <w:pPr>
        <w:tabs>
          <w:tab w:val="left" w:pos="0"/>
        </w:tabs>
        <w:jc w:val="center"/>
        <w:rPr>
          <w:szCs w:val="21"/>
        </w:rPr>
      </w:pPr>
    </w:p>
    <w:p w:rsidR="00CF1BA8" w:rsidRDefault="00CF1BA8" w:rsidP="00CF1BA8">
      <w:pPr>
        <w:tabs>
          <w:tab w:val="left" w:pos="0"/>
        </w:tabs>
        <w:jc w:val="center"/>
        <w:rPr>
          <w:szCs w:val="21"/>
        </w:rPr>
      </w:pPr>
    </w:p>
    <w:p w:rsidR="00CF1BA8" w:rsidRDefault="00CF1BA8" w:rsidP="00CF1BA8">
      <w:pPr>
        <w:tabs>
          <w:tab w:val="left" w:pos="0"/>
        </w:tabs>
        <w:jc w:val="center"/>
        <w:rPr>
          <w:szCs w:val="21"/>
        </w:rPr>
      </w:pPr>
    </w:p>
    <w:p w:rsidR="00CF1BA8" w:rsidRDefault="00CF1BA8" w:rsidP="00CF1BA8">
      <w:pPr>
        <w:tabs>
          <w:tab w:val="left" w:pos="0"/>
        </w:tabs>
        <w:jc w:val="center"/>
        <w:rPr>
          <w:szCs w:val="21"/>
        </w:rPr>
      </w:pPr>
    </w:p>
    <w:p w:rsidR="00CF1BA8" w:rsidRDefault="00CF1BA8" w:rsidP="00CF1BA8">
      <w:pPr>
        <w:tabs>
          <w:tab w:val="left" w:pos="0"/>
        </w:tabs>
        <w:jc w:val="center"/>
        <w:rPr>
          <w:szCs w:val="21"/>
        </w:rPr>
      </w:pPr>
    </w:p>
    <w:p w:rsidR="00CF1BA8" w:rsidRDefault="00CF1BA8" w:rsidP="00CF1BA8">
      <w:pPr>
        <w:tabs>
          <w:tab w:val="left" w:pos="0"/>
        </w:tabs>
        <w:jc w:val="center"/>
        <w:rPr>
          <w:szCs w:val="21"/>
        </w:rPr>
      </w:pPr>
    </w:p>
    <w:p w:rsidR="00CF1BA8" w:rsidRDefault="00CF1BA8" w:rsidP="00CF1BA8">
      <w:pPr>
        <w:tabs>
          <w:tab w:val="left" w:pos="0"/>
        </w:tabs>
        <w:jc w:val="center"/>
        <w:rPr>
          <w:szCs w:val="21"/>
        </w:rPr>
      </w:pPr>
      <w:r>
        <w:rPr>
          <w:rFonts w:hint="eastAsia"/>
          <w:szCs w:val="21"/>
        </w:rPr>
        <w:t>编制单位：</w:t>
      </w:r>
      <w:r>
        <w:rPr>
          <w:rFonts w:hint="eastAsia"/>
          <w:szCs w:val="21"/>
          <w:u w:val="single"/>
        </w:rPr>
        <w:t>南银理财有限责任公司</w:t>
      </w:r>
    </w:p>
    <w:p w:rsidR="00CF1BA8" w:rsidRDefault="00CF1BA8" w:rsidP="00CF1BA8">
      <w:pPr>
        <w:spacing w:line="0" w:lineRule="atLeast"/>
        <w:ind w:firstLineChars="2000" w:firstLine="3600"/>
        <w:rPr>
          <w:rFonts w:eastAsia="黑体"/>
          <w:b/>
          <w:bCs/>
          <w:sz w:val="24"/>
          <w:szCs w:val="15"/>
        </w:rPr>
      </w:pPr>
      <w:r>
        <w:rPr>
          <w:rFonts w:hint="eastAsia"/>
          <w:szCs w:val="21"/>
        </w:rPr>
        <w:t>版次号：</w:t>
      </w:r>
      <w:r>
        <w:rPr>
          <w:szCs w:val="21"/>
          <w:u w:val="single"/>
        </w:rPr>
        <w:t>2021</w:t>
      </w:r>
      <w:r>
        <w:rPr>
          <w:rFonts w:hint="eastAsia"/>
          <w:szCs w:val="21"/>
          <w:u w:val="single"/>
        </w:rPr>
        <w:t>第</w:t>
      </w:r>
      <w:r>
        <w:rPr>
          <w:szCs w:val="21"/>
          <w:u w:val="single"/>
        </w:rPr>
        <w:t>2</w:t>
      </w:r>
      <w:r>
        <w:rPr>
          <w:rFonts w:hint="eastAsia"/>
          <w:szCs w:val="21"/>
          <w:u w:val="single"/>
        </w:rPr>
        <w:t>版</w:t>
      </w:r>
      <w:r>
        <w:rPr>
          <w:szCs w:val="21"/>
        </w:rPr>
        <w:br w:type="page"/>
      </w:r>
    </w:p>
    <w:p w:rsidR="00CF1BA8" w:rsidRDefault="00CF1BA8" w:rsidP="00CF1BA8">
      <w:pPr>
        <w:adjustRightInd w:val="0"/>
        <w:snapToGrid w:val="0"/>
        <w:spacing w:line="0" w:lineRule="atLeast"/>
        <w:rPr>
          <w:b/>
          <w:bCs/>
          <w:szCs w:val="21"/>
        </w:rPr>
      </w:pPr>
      <w:r>
        <w:rPr>
          <w:rFonts w:hint="eastAsia"/>
          <w:b/>
          <w:bCs/>
          <w:szCs w:val="21"/>
        </w:rPr>
        <w:lastRenderedPageBreak/>
        <w:t>风险提示：</w:t>
      </w:r>
    </w:p>
    <w:p w:rsidR="00CF1BA8" w:rsidRDefault="00CF1BA8" w:rsidP="00CF1BA8">
      <w:pPr>
        <w:adjustRightInd w:val="0"/>
        <w:snapToGrid w:val="0"/>
        <w:spacing w:line="0" w:lineRule="atLeast"/>
        <w:rPr>
          <w:b/>
          <w:bCs/>
          <w:szCs w:val="21"/>
        </w:rPr>
      </w:pPr>
      <w:r>
        <w:rPr>
          <w:rFonts w:hint="eastAsia"/>
          <w:b/>
          <w:bCs/>
          <w:szCs w:val="21"/>
        </w:rPr>
        <w:t>本理财产品是净值型理财产品，不保证本金和收益，投资者的本金与收益可能会因市场变动而蒙受重大损失，投资者应仔细阅读本理财产品销售协议书条款和对应期次的《理财产品说明书》《理财产品风险揭示书》《投资者权益须知》《理财产品投资协议书》，充分认识投资风险，谨慎投资。</w:t>
      </w:r>
    </w:p>
    <w:p w:rsidR="00CF1BA8" w:rsidRDefault="00CF1BA8" w:rsidP="00CF1BA8">
      <w:pPr>
        <w:tabs>
          <w:tab w:val="left" w:pos="7920"/>
          <w:tab w:val="left" w:pos="8100"/>
        </w:tabs>
        <w:spacing w:line="0" w:lineRule="atLeast"/>
        <w:rPr>
          <w:b/>
          <w:bCs/>
        </w:rPr>
      </w:pPr>
    </w:p>
    <w:p w:rsidR="00CF1BA8" w:rsidRDefault="00CF1BA8" w:rsidP="00CF1BA8">
      <w:pPr>
        <w:spacing w:line="0" w:lineRule="atLeast"/>
        <w:jc w:val="center"/>
        <w:rPr>
          <w:rFonts w:eastAsia="黑体"/>
          <w:b/>
          <w:bCs/>
          <w:sz w:val="24"/>
          <w:szCs w:val="15"/>
        </w:rPr>
      </w:pPr>
    </w:p>
    <w:p w:rsidR="00CF1BA8" w:rsidRDefault="00CF1BA8" w:rsidP="00CF1BA8">
      <w:pPr>
        <w:spacing w:line="0" w:lineRule="atLeast"/>
        <w:jc w:val="center"/>
        <w:rPr>
          <w:rFonts w:eastAsia="黑体"/>
          <w:b/>
          <w:bCs/>
          <w:sz w:val="24"/>
          <w:szCs w:val="15"/>
        </w:rPr>
      </w:pPr>
      <w:r>
        <w:rPr>
          <w:rFonts w:eastAsia="黑体" w:hint="eastAsia"/>
          <w:b/>
          <w:bCs/>
          <w:sz w:val="24"/>
          <w:szCs w:val="15"/>
        </w:rPr>
        <w:t>理财产品销售协议书</w:t>
      </w:r>
    </w:p>
    <w:p w:rsidR="00CF1BA8" w:rsidRDefault="00CF1BA8" w:rsidP="00CF1BA8">
      <w:pPr>
        <w:spacing w:line="200" w:lineRule="exact"/>
        <w:ind w:firstLineChars="200" w:firstLine="300"/>
        <w:rPr>
          <w:rFonts w:eastAsia="方正细黑一简体"/>
          <w:sz w:val="15"/>
          <w:szCs w:val="15"/>
        </w:rPr>
      </w:pPr>
    </w:p>
    <w:p w:rsidR="00CF1BA8" w:rsidRDefault="00CF1BA8" w:rsidP="00CF1BA8">
      <w:pPr>
        <w:spacing w:line="200" w:lineRule="exact"/>
        <w:ind w:firstLineChars="200" w:firstLine="300"/>
        <w:rPr>
          <w:rFonts w:eastAsia="方正细黑一简体"/>
          <w:sz w:val="15"/>
          <w:szCs w:val="15"/>
        </w:rPr>
      </w:pPr>
      <w:r>
        <w:rPr>
          <w:rFonts w:eastAsia="方正细黑一简体" w:hint="eastAsia"/>
          <w:sz w:val="15"/>
          <w:szCs w:val="15"/>
        </w:rPr>
        <w:t>经甲方（南银理财有限责任公司，以下简称</w:t>
      </w:r>
      <w:r>
        <w:rPr>
          <w:rFonts w:eastAsia="方正细黑一简体"/>
          <w:sz w:val="15"/>
          <w:szCs w:val="15"/>
        </w:rPr>
        <w:t>“</w:t>
      </w:r>
      <w:r>
        <w:rPr>
          <w:rFonts w:eastAsia="方正细黑一简体" w:hint="eastAsia"/>
          <w:sz w:val="15"/>
          <w:szCs w:val="15"/>
        </w:rPr>
        <w:t>南银理财</w:t>
      </w:r>
      <w:r>
        <w:rPr>
          <w:rFonts w:eastAsia="方正细黑一简体"/>
          <w:sz w:val="15"/>
          <w:szCs w:val="15"/>
        </w:rPr>
        <w:t>”</w:t>
      </w:r>
      <w:r>
        <w:rPr>
          <w:rFonts w:eastAsia="方正细黑一简体" w:hint="eastAsia"/>
          <w:sz w:val="15"/>
          <w:szCs w:val="15"/>
        </w:rPr>
        <w:t>、</w:t>
      </w:r>
      <w:r>
        <w:rPr>
          <w:rFonts w:eastAsia="方正细黑一简体"/>
          <w:sz w:val="15"/>
          <w:szCs w:val="15"/>
        </w:rPr>
        <w:t>“</w:t>
      </w:r>
      <w:r>
        <w:rPr>
          <w:rFonts w:eastAsia="方正细黑一简体" w:hint="eastAsia"/>
          <w:color w:val="3D3D3D"/>
          <w:sz w:val="15"/>
          <w:szCs w:val="15"/>
        </w:rPr>
        <w:t>管理人</w:t>
      </w:r>
      <w:r>
        <w:rPr>
          <w:rFonts w:eastAsia="方正细黑一简体"/>
          <w:color w:val="3D3D3D"/>
          <w:sz w:val="15"/>
          <w:szCs w:val="15"/>
        </w:rPr>
        <w:t>”</w:t>
      </w:r>
      <w:r>
        <w:rPr>
          <w:rFonts w:eastAsia="方正细黑一简体" w:hint="eastAsia"/>
          <w:color w:val="3D3D3D"/>
          <w:sz w:val="15"/>
          <w:szCs w:val="15"/>
        </w:rPr>
        <w:t>、“产品管理人”或</w:t>
      </w:r>
      <w:r>
        <w:rPr>
          <w:rFonts w:eastAsia="方正细黑一简体"/>
          <w:color w:val="3D3D3D"/>
          <w:sz w:val="15"/>
          <w:szCs w:val="15"/>
        </w:rPr>
        <w:t>“</w:t>
      </w:r>
      <w:r>
        <w:rPr>
          <w:rFonts w:eastAsia="方正细黑一简体" w:hint="eastAsia"/>
          <w:color w:val="3D3D3D"/>
          <w:sz w:val="15"/>
          <w:szCs w:val="15"/>
        </w:rPr>
        <w:t>理财产品管理人</w:t>
      </w:r>
      <w:r>
        <w:rPr>
          <w:rFonts w:eastAsia="方正细黑一简体"/>
          <w:sz w:val="15"/>
          <w:szCs w:val="15"/>
        </w:rPr>
        <w:t>”</w:t>
      </w:r>
      <w:r>
        <w:rPr>
          <w:rFonts w:eastAsia="方正细黑一简体" w:hint="eastAsia"/>
          <w:sz w:val="15"/>
          <w:szCs w:val="15"/>
        </w:rPr>
        <w:t>）与乙方（以下简称“投资者”）双方平等友好协商，本着平等自愿、诚实守信的原则，就乙方购买甲方管理的理财产品的有关事宜达成协议如下：</w:t>
      </w:r>
    </w:p>
    <w:p w:rsidR="00CF1BA8" w:rsidRDefault="00CF1BA8" w:rsidP="00CF1BA8">
      <w:pPr>
        <w:numPr>
          <w:ilvl w:val="0"/>
          <w:numId w:val="17"/>
        </w:numPr>
        <w:spacing w:line="200" w:lineRule="exact"/>
        <w:ind w:firstLineChars="200" w:firstLine="341"/>
        <w:rPr>
          <w:b/>
          <w:bCs/>
          <w:spacing w:val="10"/>
          <w:sz w:val="15"/>
          <w:szCs w:val="15"/>
        </w:rPr>
      </w:pPr>
      <w:r>
        <w:rPr>
          <w:rFonts w:hint="eastAsia"/>
          <w:b/>
          <w:bCs/>
          <w:spacing w:val="10"/>
          <w:sz w:val="15"/>
          <w:szCs w:val="15"/>
        </w:rPr>
        <w:t>名词释义</w:t>
      </w:r>
    </w:p>
    <w:p w:rsidR="00CF1BA8" w:rsidRDefault="00CF1BA8" w:rsidP="00CF1BA8">
      <w:pPr>
        <w:pStyle w:val="12"/>
        <w:ind w:firstLine="340"/>
        <w:rPr>
          <w:spacing w:val="10"/>
          <w:sz w:val="15"/>
          <w:szCs w:val="15"/>
        </w:rPr>
      </w:pPr>
      <w:r>
        <w:rPr>
          <w:rFonts w:hint="eastAsia"/>
          <w:spacing w:val="10"/>
          <w:sz w:val="15"/>
          <w:szCs w:val="15"/>
        </w:rPr>
        <w:t>本协议项下用词与对应期次的《理财产品说明书》中相关用词含义一致，本协议另有说明的除外。</w:t>
      </w:r>
    </w:p>
    <w:p w:rsidR="00CF1BA8" w:rsidRDefault="00CF1BA8" w:rsidP="00CF1BA8">
      <w:pPr>
        <w:numPr>
          <w:ilvl w:val="0"/>
          <w:numId w:val="17"/>
        </w:numPr>
        <w:spacing w:line="200" w:lineRule="exact"/>
        <w:ind w:firstLineChars="200" w:firstLine="341"/>
        <w:rPr>
          <w:b/>
          <w:bCs/>
          <w:spacing w:val="10"/>
          <w:sz w:val="15"/>
          <w:szCs w:val="15"/>
        </w:rPr>
      </w:pPr>
      <w:r>
        <w:rPr>
          <w:rFonts w:hint="eastAsia"/>
          <w:b/>
          <w:bCs/>
          <w:spacing w:val="10"/>
          <w:sz w:val="15"/>
          <w:szCs w:val="15"/>
        </w:rPr>
        <w:t>销售机构</w:t>
      </w:r>
    </w:p>
    <w:p w:rsidR="00CF1BA8" w:rsidRDefault="00CF1BA8" w:rsidP="00CF1BA8">
      <w:pPr>
        <w:spacing w:line="200" w:lineRule="exact"/>
        <w:ind w:firstLineChars="200" w:firstLine="340"/>
        <w:rPr>
          <w:spacing w:val="10"/>
          <w:sz w:val="15"/>
          <w:szCs w:val="15"/>
        </w:rPr>
      </w:pPr>
      <w:r>
        <w:rPr>
          <w:rFonts w:hint="eastAsia"/>
          <w:spacing w:val="10"/>
          <w:sz w:val="15"/>
          <w:szCs w:val="15"/>
        </w:rPr>
        <w:t>南京银行股份有限公司作为本理财产品的销售机构，负责本理财产品的销售。</w:t>
      </w:r>
    </w:p>
    <w:p w:rsidR="00CF1BA8" w:rsidRDefault="00CF1BA8" w:rsidP="00CF1BA8">
      <w:pPr>
        <w:numPr>
          <w:ilvl w:val="0"/>
          <w:numId w:val="17"/>
        </w:numPr>
        <w:spacing w:line="200" w:lineRule="exact"/>
        <w:ind w:firstLineChars="200" w:firstLine="341"/>
        <w:rPr>
          <w:b/>
          <w:bCs/>
          <w:spacing w:val="10"/>
          <w:sz w:val="15"/>
          <w:szCs w:val="15"/>
        </w:rPr>
      </w:pPr>
      <w:r>
        <w:rPr>
          <w:rFonts w:hint="eastAsia"/>
          <w:b/>
          <w:bCs/>
          <w:spacing w:val="10"/>
          <w:sz w:val="15"/>
          <w:szCs w:val="15"/>
        </w:rPr>
        <w:t>甲方的权利与义务：</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甲方应当履行恪尽职守、勤勉尽责、诚实守信、有效管理的义务。</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甲方应当按照理财产品销售文件的约定向投资者分配收益。</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甲方应当按照法律法规、理财产品销售文件的约定履行信息披露义务。</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甲方应当确保理财业务与其他业务相分离，理财产品之间相分离，理财业务操作与其他业务操作相分离。</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甲方应当遵守市场交易和公平交易原则，不得在理财产品之间、理财产品投资者之间或者理财产品投资者与其他市场主体之间进行利益输送。</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甲方应当选择具有证券投资基金托管业务资格的金融机构、银行业理财登记托管机构或者国务院银行业监督管理机构认可的其他机构托管理财产品。</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在本协议约定的投资范围和权限内，甲方拥有管理和运用理财资金的权利，并有权按照对应期次《理财产品说明书》的约定收取相应费用、业绩报酬。</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由于投资管理或者获取投资标的的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15"/>
          <w:szCs w:val="15"/>
        </w:rPr>
        <w:t>/</w:t>
      </w:r>
      <w:r>
        <w:rPr>
          <w:rFonts w:hint="eastAsia"/>
          <w:spacing w:val="10"/>
          <w:sz w:val="15"/>
          <w:szCs w:val="15"/>
        </w:rPr>
        <w:t>仲裁、申请保全</w:t>
      </w:r>
      <w:r>
        <w:rPr>
          <w:spacing w:val="10"/>
          <w:sz w:val="15"/>
          <w:szCs w:val="15"/>
        </w:rPr>
        <w:t>/</w:t>
      </w:r>
      <w:r>
        <w:rPr>
          <w:rFonts w:hint="eastAsia"/>
          <w:spacing w:val="10"/>
          <w:sz w:val="15"/>
          <w:szCs w:val="15"/>
        </w:rPr>
        <w:t>执行等，由此产生的费用由理财产品承担，在实际发生时列支。</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甲方有权根据产品运作的需要选任必要的业务合作机构。</w:t>
      </w:r>
    </w:p>
    <w:p w:rsidR="00CF1BA8" w:rsidRDefault="00CF1BA8" w:rsidP="00CF1BA8">
      <w:pPr>
        <w:numPr>
          <w:ilvl w:val="0"/>
          <w:numId w:val="18"/>
        </w:numPr>
        <w:spacing w:line="200" w:lineRule="exact"/>
        <w:ind w:firstLineChars="200" w:firstLine="301"/>
        <w:rPr>
          <w:b/>
          <w:bCs/>
          <w:spacing w:val="10"/>
          <w:sz w:val="15"/>
          <w:szCs w:val="15"/>
        </w:rPr>
      </w:pPr>
      <w:r>
        <w:rPr>
          <w:rFonts w:hint="eastAsia"/>
          <w:b/>
          <w:bCs/>
          <w:color w:val="000000"/>
          <w:kern w:val="0"/>
          <w:sz w:val="15"/>
          <w:szCs w:val="11"/>
        </w:rPr>
        <w:t>投资者特此同意并授权</w:t>
      </w:r>
      <w:r>
        <w:rPr>
          <w:rFonts w:hint="eastAsia"/>
          <w:b/>
          <w:bCs/>
          <w:spacing w:val="10"/>
          <w:sz w:val="15"/>
          <w:szCs w:val="15"/>
        </w:rPr>
        <w:t>甲方及销售机构</w:t>
      </w:r>
      <w:r>
        <w:rPr>
          <w:rFonts w:hint="eastAsia"/>
          <w:b/>
          <w:bCs/>
          <w:color w:val="000000"/>
          <w:kern w:val="0"/>
          <w:sz w:val="15"/>
          <w:szCs w:val="11"/>
        </w:rPr>
        <w:t>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甲方无义务对第三人支付本理财产品清算分配金额及相关权益，法律法规另有规定的除外。</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甲方以其固有财产先行垫付因处理本理财产品相关事务所支出的理财产品费用及税费的，对理财产品资金享有优先受偿的权利。</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甲方有权根据本理财产品销售文件的约定提前终止或延长本理财产品的存续期限。</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甲方有权调整本理财产品的认购或申购起点、单笔认购或申购上限等要素。</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甲方有权根据相关规定及销售文件的约定，变更销售文件内容。</w:t>
      </w:r>
    </w:p>
    <w:p w:rsidR="00CF1BA8" w:rsidRDefault="00CF1BA8" w:rsidP="00CF1BA8">
      <w:pPr>
        <w:numPr>
          <w:ilvl w:val="0"/>
          <w:numId w:val="18"/>
        </w:numPr>
        <w:spacing w:line="200" w:lineRule="exact"/>
        <w:ind w:firstLineChars="200" w:firstLine="341"/>
        <w:rPr>
          <w:b/>
          <w:bCs/>
          <w:spacing w:val="10"/>
          <w:sz w:val="15"/>
          <w:szCs w:val="15"/>
        </w:rPr>
      </w:pPr>
      <w:r>
        <w:rPr>
          <w:rFonts w:hint="eastAsia"/>
          <w:b/>
          <w:bCs/>
          <w:spacing w:val="10"/>
          <w:sz w:val="15"/>
          <w:szCs w:val="15"/>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15"/>
        </w:rPr>
        <w:t>，由此产生的一切损失及费用将由乙方承担，甲方或销售机构有权将此损失及费用从乙方的授权指定账户、理财本金及收益中扣除</w:t>
      </w:r>
      <w:r>
        <w:rPr>
          <w:rFonts w:hint="eastAsia"/>
          <w:b/>
          <w:bCs/>
          <w:spacing w:val="10"/>
          <w:sz w:val="15"/>
          <w:szCs w:val="15"/>
        </w:rPr>
        <w:t>。</w:t>
      </w:r>
    </w:p>
    <w:p w:rsidR="00CF1BA8" w:rsidRDefault="00CF1BA8" w:rsidP="00CF1BA8">
      <w:pPr>
        <w:numPr>
          <w:ilvl w:val="0"/>
          <w:numId w:val="18"/>
        </w:numPr>
        <w:spacing w:line="200" w:lineRule="exact"/>
        <w:ind w:firstLineChars="200" w:firstLine="341"/>
        <w:rPr>
          <w:b/>
          <w:bCs/>
          <w:spacing w:val="10"/>
          <w:sz w:val="15"/>
          <w:szCs w:val="15"/>
        </w:rPr>
      </w:pP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销售机构未及时足额划付资金，或销售机构清算账户内资金被依法冻结或扣划，或销售机构清算账户处于被挂失、冻结、注销或其他非正常状态等原因而导致交易失败，由销售机构与投资者依法协商解决。</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甲方或销售机构发现或有合理理由怀疑乙方或其资金存在洗钱、恐怖融资、逃税等嫌疑，甲方有权提前终止本协议。</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甲方在此特别披露：</w:t>
      </w:r>
      <w:r>
        <w:rPr>
          <w:rFonts w:hint="eastAsia"/>
          <w:b/>
          <w:bCs/>
          <w:spacing w:val="10"/>
          <w:sz w:val="15"/>
          <w:szCs w:val="15"/>
        </w:rPr>
        <w:t>若产品管理人的关联方担任理财产品的销售机构、托管人、合作机构的，产品管理人将按照法律法规和监管要求履行相应程序，乙方认购或申购理财产品即视为同意该等安排。</w:t>
      </w:r>
    </w:p>
    <w:p w:rsidR="00CF1BA8" w:rsidRDefault="00CF1BA8" w:rsidP="00CF1BA8">
      <w:pPr>
        <w:numPr>
          <w:ilvl w:val="0"/>
          <w:numId w:val="18"/>
        </w:numPr>
        <w:spacing w:line="200" w:lineRule="exact"/>
        <w:ind w:firstLineChars="200" w:firstLine="340"/>
        <w:rPr>
          <w:spacing w:val="10"/>
          <w:sz w:val="15"/>
          <w:szCs w:val="15"/>
        </w:rPr>
      </w:pPr>
      <w:r>
        <w:rPr>
          <w:rFonts w:hint="eastAsia"/>
          <w:spacing w:val="10"/>
          <w:sz w:val="15"/>
          <w:szCs w:val="15"/>
        </w:rPr>
        <w:t>法律法规规定及理财产品销售文件约定的其他权利与义务。</w:t>
      </w:r>
    </w:p>
    <w:p w:rsidR="00CF1BA8" w:rsidRDefault="00CF1BA8" w:rsidP="00CF1BA8">
      <w:pPr>
        <w:spacing w:line="200" w:lineRule="exact"/>
        <w:ind w:left="341"/>
        <w:rPr>
          <w:b/>
          <w:bCs/>
          <w:spacing w:val="10"/>
          <w:sz w:val="15"/>
          <w:szCs w:val="15"/>
        </w:rPr>
      </w:pPr>
      <w:r>
        <w:rPr>
          <w:b/>
          <w:bCs/>
          <w:spacing w:val="10"/>
          <w:sz w:val="15"/>
          <w:szCs w:val="15"/>
        </w:rPr>
        <w:t>4.</w:t>
      </w:r>
      <w:r>
        <w:rPr>
          <w:rFonts w:hint="eastAsia"/>
          <w:b/>
          <w:bCs/>
          <w:spacing w:val="10"/>
          <w:sz w:val="15"/>
          <w:szCs w:val="15"/>
        </w:rPr>
        <w:t>乙方的权利与义务：</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乙方应当保证其理财资金为合法拥有的自有资金，不存在涉嫌洗钱、恶意逃避税收征收管理等违法违规行为，保证可提供资金来源合法的证明文件，配合甲方或销售机构为识别合格投资者等目的进行的尽职调查。</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乙方不得使用贷款、发行债券等方式筹集的非自有资金购买理财产品。乙方将其自有资金用作本理财产品销售协议书条款项下理财交易并不违反相关法律、法规、规章、规定、法院裁定或命令的要求。</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乙方保证具有完全民事行为能力，有完全适当的资格与能力订立并履行本协议。</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乙方应接受销售机构对其投资风险承受能力进行的测评。（个人投资者适用）</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乙方是一家按照中国法律正式注册并有效存续的法人或其他组织，具有拥有和支配其财产以及继续进行其正在进行之业务的全部权力和授权。（机构投资者适用）</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乙方能够自行识别、判断和承担理财产品的相关风险；不存在法律法规、有权机关或主管机关禁止或限制购买理财产品的各种情形。乙方按其投资金额在本理财协议中享有相应的权利，承担相应的义务和风险。</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乙方保证，乙方系符合监管规定要求的合格投资者。（私募产品投资者适用）</w:t>
      </w:r>
    </w:p>
    <w:p w:rsidR="00CF1BA8" w:rsidRDefault="00CF1BA8" w:rsidP="00CF1BA8">
      <w:pPr>
        <w:numPr>
          <w:ilvl w:val="0"/>
          <w:numId w:val="19"/>
        </w:numPr>
        <w:spacing w:line="200" w:lineRule="exact"/>
        <w:ind w:firstLine="340"/>
        <w:rPr>
          <w:b/>
          <w:bCs/>
          <w:spacing w:val="10"/>
          <w:sz w:val="15"/>
          <w:szCs w:val="15"/>
        </w:rPr>
      </w:pPr>
      <w:r>
        <w:rPr>
          <w:rFonts w:hint="eastAsia"/>
          <w:b/>
          <w:bCs/>
          <w:spacing w:val="10"/>
          <w:sz w:val="15"/>
          <w:szCs w:val="15"/>
        </w:rPr>
        <w:t>乙方保证其已知悉甲方并非乙方的投资顾问或其他顾问，乙方并未依赖于甲方和</w:t>
      </w:r>
      <w:r>
        <w:rPr>
          <w:b/>
          <w:bCs/>
          <w:spacing w:val="10"/>
          <w:sz w:val="15"/>
          <w:szCs w:val="15"/>
        </w:rPr>
        <w:t>/</w:t>
      </w:r>
      <w:r>
        <w:rPr>
          <w:rFonts w:hint="eastAsia"/>
          <w:b/>
          <w:bCs/>
          <w:spacing w:val="10"/>
          <w:sz w:val="15"/>
          <w:szCs w:val="15"/>
        </w:rPr>
        <w:t>或甲方的雇员、代理人或关联机构对其所作的任何陈述（不论口头或书面）而决定投资于理财产品。</w:t>
      </w:r>
    </w:p>
    <w:p w:rsidR="00CF1BA8" w:rsidRDefault="00CF1BA8" w:rsidP="00CF1BA8">
      <w:pPr>
        <w:numPr>
          <w:ilvl w:val="0"/>
          <w:numId w:val="19"/>
        </w:numPr>
        <w:spacing w:line="200" w:lineRule="exact"/>
        <w:ind w:firstLine="340"/>
        <w:rPr>
          <w:spacing w:val="10"/>
          <w:sz w:val="15"/>
          <w:szCs w:val="15"/>
        </w:rPr>
      </w:pPr>
      <w:r>
        <w:rPr>
          <w:rFonts w:hint="eastAsia"/>
          <w:spacing w:val="10"/>
          <w:sz w:val="15"/>
          <w:szCs w:val="15"/>
        </w:rPr>
        <w:t>乙方保证签署和履行理财产品销售文件系其真实意思表示，其有权利签署本协议和履行本协议所述的义务，并已为此采取一切所需的行为。</w:t>
      </w:r>
    </w:p>
    <w:p w:rsidR="00CF1BA8" w:rsidRDefault="00CF1BA8" w:rsidP="00CF1BA8">
      <w:pPr>
        <w:numPr>
          <w:ilvl w:val="0"/>
          <w:numId w:val="19"/>
        </w:numPr>
        <w:spacing w:line="200" w:lineRule="exact"/>
        <w:ind w:firstLineChars="200" w:firstLine="340"/>
        <w:rPr>
          <w:spacing w:val="10"/>
          <w:sz w:val="15"/>
          <w:szCs w:val="15"/>
        </w:rPr>
      </w:pPr>
      <w:r>
        <w:rPr>
          <w:rFonts w:hint="eastAsia"/>
          <w:spacing w:val="10"/>
          <w:sz w:val="15"/>
          <w:szCs w:val="15"/>
        </w:rPr>
        <w:t>乙方保证执行及交付任何文件或履行本协议项下的义务，均不会违反</w:t>
      </w:r>
      <w:r>
        <w:rPr>
          <w:spacing w:val="10"/>
          <w:sz w:val="15"/>
          <w:szCs w:val="15"/>
        </w:rPr>
        <w:t>(i)</w:t>
      </w:r>
      <w:r>
        <w:rPr>
          <w:rFonts w:hint="eastAsia"/>
          <w:spacing w:val="10"/>
          <w:sz w:val="15"/>
          <w:szCs w:val="15"/>
        </w:rPr>
        <w:t>任何适用法律、法规、法令或法律限制，任何法院或其他政</w:t>
      </w:r>
      <w:r>
        <w:rPr>
          <w:rFonts w:hint="eastAsia"/>
          <w:spacing w:val="10"/>
          <w:sz w:val="15"/>
          <w:szCs w:val="15"/>
        </w:rPr>
        <w:lastRenderedPageBreak/>
        <w:t>府机关所作出的适用于乙方或乙方任何资产的指令或判决；</w:t>
      </w:r>
      <w:r>
        <w:rPr>
          <w:spacing w:val="10"/>
          <w:sz w:val="15"/>
          <w:szCs w:val="15"/>
        </w:rPr>
        <w:t>(ii)</w:t>
      </w:r>
      <w:r>
        <w:rPr>
          <w:rFonts w:hint="eastAsia"/>
          <w:spacing w:val="10"/>
          <w:sz w:val="15"/>
          <w:szCs w:val="15"/>
        </w:rPr>
        <w:t>对乙方或乙方任何资产有约束力的任何协议条款或其他法律文件。乙方应在签署本协议的同时按照对应期次的《理财产品说明书》的约定在授权指定账户存入足额的资金以确保账户余额大于或等于认购或申购金额。</w:t>
      </w:r>
    </w:p>
    <w:p w:rsidR="00CF1BA8" w:rsidRDefault="00CF1BA8" w:rsidP="00CF1BA8">
      <w:pPr>
        <w:numPr>
          <w:ilvl w:val="0"/>
          <w:numId w:val="19"/>
        </w:numPr>
        <w:spacing w:line="200" w:lineRule="exact"/>
        <w:ind w:firstLineChars="200" w:firstLine="340"/>
        <w:rPr>
          <w:spacing w:val="10"/>
          <w:sz w:val="15"/>
          <w:szCs w:val="15"/>
        </w:rPr>
      </w:pPr>
      <w:r>
        <w:rPr>
          <w:rFonts w:hint="eastAsia"/>
          <w:spacing w:val="10"/>
          <w:sz w:val="15"/>
          <w:szCs w:val="15"/>
        </w:rPr>
        <w:t>乙方应按要求确定授权指定账户，用于本理财产品的理财资金划转及理财收益、到期清算分配资金的分配。</w:t>
      </w:r>
      <w:r>
        <w:rPr>
          <w:rFonts w:hint="eastAsia"/>
          <w:b/>
          <w:spacing w:val="10"/>
          <w:sz w:val="15"/>
        </w:rPr>
        <w:t>本协议终止前，乙方不得将授权指定账户销户。若发生因乙方注销授权指定账户造成理财产品无法正常分配的，乙方承担由此产生的损失。</w:t>
      </w:r>
    </w:p>
    <w:p w:rsidR="00CF1BA8" w:rsidRDefault="00CF1BA8" w:rsidP="00CF1BA8">
      <w:pPr>
        <w:pStyle w:val="a4"/>
        <w:numPr>
          <w:ilvl w:val="0"/>
          <w:numId w:val="19"/>
        </w:numPr>
        <w:spacing w:line="200" w:lineRule="exact"/>
        <w:ind w:firstLine="340"/>
        <w:rPr>
          <w:spacing w:val="10"/>
          <w:sz w:val="15"/>
          <w:szCs w:val="15"/>
        </w:rPr>
      </w:pPr>
      <w:r>
        <w:rPr>
          <w:rFonts w:hint="eastAsia"/>
          <w:b/>
          <w:spacing w:val="10"/>
          <w:sz w:val="15"/>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乙方应配合甲方或销售机构根据实际情况采取的任何措施，包括但不限于全部或部分终止理财交易、停止向投资者支付投资本金及投资收益，由此产生的一切损失及费用将由乙方承担，甲方或销售机构有权将此损失及费用从乙方的授权指定账户、理财本金及收益中扣除。乙方无权要求甲方或销售机构对上述后果承担任何责任</w:t>
      </w:r>
      <w:r>
        <w:rPr>
          <w:rFonts w:hint="eastAsia"/>
          <w:spacing w:val="10"/>
          <w:sz w:val="15"/>
          <w:szCs w:val="15"/>
        </w:rPr>
        <w:t>。</w:t>
      </w:r>
    </w:p>
    <w:p w:rsidR="00CF1BA8" w:rsidRDefault="00CF1BA8" w:rsidP="00CF1BA8">
      <w:pPr>
        <w:numPr>
          <w:ilvl w:val="0"/>
          <w:numId w:val="19"/>
        </w:numPr>
        <w:spacing w:line="200" w:lineRule="exact"/>
        <w:ind w:firstLineChars="200" w:firstLine="341"/>
        <w:rPr>
          <w:b/>
          <w:bCs/>
          <w:spacing w:val="10"/>
          <w:sz w:val="15"/>
          <w:szCs w:val="15"/>
        </w:rPr>
      </w:pPr>
      <w:r>
        <w:rPr>
          <w:rFonts w:hint="eastAsia"/>
          <w:b/>
          <w:bCs/>
          <w:spacing w:val="10"/>
          <w:sz w:val="15"/>
          <w:szCs w:val="15"/>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CF1BA8" w:rsidRDefault="00CF1BA8" w:rsidP="00CF1BA8">
      <w:pPr>
        <w:numPr>
          <w:ilvl w:val="0"/>
          <w:numId w:val="19"/>
        </w:numPr>
        <w:spacing w:line="200" w:lineRule="exact"/>
        <w:ind w:firstLineChars="200" w:firstLine="340"/>
        <w:rPr>
          <w:spacing w:val="10"/>
          <w:sz w:val="15"/>
          <w:szCs w:val="15"/>
        </w:rPr>
      </w:pPr>
      <w:r>
        <w:rPr>
          <w:rFonts w:hint="eastAsia"/>
          <w:spacing w:val="10"/>
          <w:sz w:val="15"/>
          <w:szCs w:val="15"/>
        </w:rPr>
        <w:t>乙方承诺，不利用本理财业务及本理财产品说明书项下理财产品从事违法活动。</w:t>
      </w:r>
    </w:p>
    <w:p w:rsidR="00CF1BA8" w:rsidRDefault="00CF1BA8" w:rsidP="00CF1BA8">
      <w:pPr>
        <w:numPr>
          <w:ilvl w:val="0"/>
          <w:numId w:val="19"/>
        </w:numPr>
        <w:spacing w:line="200" w:lineRule="exact"/>
        <w:ind w:firstLineChars="200" w:firstLine="341"/>
        <w:rPr>
          <w:spacing w:val="10"/>
          <w:sz w:val="15"/>
          <w:szCs w:val="15"/>
        </w:rPr>
      </w:pPr>
      <w:r>
        <w:rPr>
          <w:rFonts w:hint="eastAsia"/>
          <w:b/>
          <w:bCs/>
          <w:spacing w:val="10"/>
          <w:sz w:val="15"/>
          <w:szCs w:val="15"/>
        </w:rPr>
        <w:t>乙方承诺，未经产品管理人同意，乙方不以本理财产品说明书或产品说明书项下的任何权利、利益、权益为乙方和任何第三人的债务设定担保或其他权益</w:t>
      </w:r>
      <w:r>
        <w:rPr>
          <w:rFonts w:hint="eastAsia"/>
          <w:spacing w:val="10"/>
          <w:sz w:val="15"/>
          <w:szCs w:val="15"/>
        </w:rPr>
        <w:t>。</w:t>
      </w:r>
    </w:p>
    <w:p w:rsidR="00CF1BA8" w:rsidRDefault="00CF1BA8" w:rsidP="00CF1BA8">
      <w:pPr>
        <w:numPr>
          <w:ilvl w:val="0"/>
          <w:numId w:val="19"/>
        </w:numPr>
        <w:spacing w:line="200" w:lineRule="exact"/>
        <w:ind w:firstLineChars="200" w:firstLine="341"/>
        <w:rPr>
          <w:spacing w:val="10"/>
          <w:sz w:val="15"/>
          <w:szCs w:val="15"/>
        </w:rPr>
      </w:pPr>
      <w:r>
        <w:rPr>
          <w:rFonts w:hint="eastAsia"/>
          <w:b/>
          <w:bCs/>
          <w:spacing w:val="10"/>
          <w:sz w:val="15"/>
          <w:szCs w:val="15"/>
        </w:rPr>
        <w:t>乙方承诺，未经产品管理人同意，乙方不向任何第三人转让、赠与本理财产品说明书或本理财产品说明书项下的任何权利、义务、利益、权益</w:t>
      </w:r>
      <w:r>
        <w:rPr>
          <w:rFonts w:hint="eastAsia"/>
          <w:spacing w:val="10"/>
          <w:sz w:val="15"/>
          <w:szCs w:val="15"/>
        </w:rPr>
        <w:t>。</w:t>
      </w:r>
    </w:p>
    <w:p w:rsidR="00CF1BA8" w:rsidRDefault="00CF1BA8" w:rsidP="00CF1BA8">
      <w:pPr>
        <w:numPr>
          <w:ilvl w:val="0"/>
          <w:numId w:val="19"/>
        </w:numPr>
        <w:spacing w:line="200" w:lineRule="exact"/>
        <w:ind w:firstLineChars="200" w:firstLine="340"/>
        <w:rPr>
          <w:spacing w:val="10"/>
          <w:sz w:val="15"/>
          <w:szCs w:val="15"/>
        </w:rPr>
      </w:pPr>
      <w:r>
        <w:rPr>
          <w:rFonts w:hint="eastAsia"/>
          <w:spacing w:val="10"/>
          <w:sz w:val="15"/>
          <w:szCs w:val="15"/>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w:t>
      </w:r>
      <w:r>
        <w:rPr>
          <w:rFonts w:hint="eastAsia"/>
          <w:b/>
          <w:bCs/>
          <w:spacing w:val="10"/>
          <w:sz w:val="15"/>
          <w:szCs w:val="15"/>
        </w:rPr>
        <w:t>甲方或销售机构发现或有合理理由怀疑乙方或其资金存在洗钱、恐怖融资、逃税等嫌疑，甲方有权提前终止本协议，造成乙方损失的，甲方不承担责任。</w:t>
      </w:r>
    </w:p>
    <w:p w:rsidR="00CF1BA8" w:rsidRDefault="00CF1BA8" w:rsidP="00CF1BA8">
      <w:pPr>
        <w:numPr>
          <w:ilvl w:val="0"/>
          <w:numId w:val="19"/>
        </w:numPr>
        <w:spacing w:line="200" w:lineRule="exact"/>
        <w:ind w:firstLineChars="200" w:firstLine="340"/>
        <w:rPr>
          <w:spacing w:val="10"/>
          <w:sz w:val="15"/>
          <w:szCs w:val="15"/>
        </w:rPr>
      </w:pPr>
      <w:r>
        <w:rPr>
          <w:rFonts w:hint="eastAsia"/>
          <w:spacing w:val="10"/>
          <w:sz w:val="15"/>
          <w:szCs w:val="15"/>
        </w:rPr>
        <w:t>乙方已充分知悉对应期次理财产品风险等级</w:t>
      </w:r>
      <w:r>
        <w:rPr>
          <w:rFonts w:hint="eastAsia"/>
          <w:b/>
          <w:bCs/>
          <w:spacing w:val="10"/>
          <w:sz w:val="15"/>
          <w:szCs w:val="15"/>
        </w:rPr>
        <w:t>（该产品通过代理销售机构渠道销售的，理财产品评级应当以代理销售机构最终披露的评级结果为准）</w:t>
      </w:r>
      <w:r>
        <w:rPr>
          <w:rFonts w:hint="eastAsia"/>
          <w:spacing w:val="10"/>
          <w:sz w:val="15"/>
          <w:szCs w:val="15"/>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rsidR="00CF1BA8" w:rsidRDefault="00CF1BA8" w:rsidP="00CF1BA8">
      <w:pPr>
        <w:numPr>
          <w:ilvl w:val="0"/>
          <w:numId w:val="19"/>
        </w:numPr>
        <w:spacing w:line="200" w:lineRule="exact"/>
        <w:ind w:firstLineChars="200" w:firstLine="340"/>
        <w:rPr>
          <w:spacing w:val="10"/>
          <w:sz w:val="15"/>
          <w:szCs w:val="15"/>
        </w:rPr>
      </w:pPr>
      <w:r>
        <w:rPr>
          <w:rFonts w:hint="eastAsia"/>
          <w:spacing w:val="10"/>
          <w:sz w:val="15"/>
          <w:szCs w:val="15"/>
        </w:rPr>
        <w:t>乙方对因购买、持有本理财产品而知悉的甲方及销售机构保密信息承担保密义务，乙方承诺不以任何方式向任何第三方披露甲方的保密信息，法律法规另有规定的除外。</w:t>
      </w:r>
    </w:p>
    <w:p w:rsidR="00CF1BA8" w:rsidRDefault="00CF1BA8" w:rsidP="00CF1BA8">
      <w:pPr>
        <w:numPr>
          <w:ilvl w:val="0"/>
          <w:numId w:val="19"/>
        </w:numPr>
        <w:spacing w:line="200" w:lineRule="exact"/>
        <w:ind w:firstLineChars="200" w:firstLine="341"/>
        <w:rPr>
          <w:b/>
          <w:bCs/>
          <w:spacing w:val="10"/>
          <w:sz w:val="15"/>
          <w:szCs w:val="15"/>
        </w:rPr>
      </w:pPr>
      <w:r>
        <w:rPr>
          <w:rFonts w:hint="eastAsia"/>
          <w:b/>
          <w:bCs/>
          <w:color w:val="3D3D3D"/>
          <w:spacing w:val="10"/>
          <w:sz w:val="15"/>
          <w:szCs w:val="15"/>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rsidR="00CF1BA8" w:rsidRDefault="00CF1BA8" w:rsidP="00CF1BA8">
      <w:pPr>
        <w:numPr>
          <w:ilvl w:val="0"/>
          <w:numId w:val="19"/>
        </w:numPr>
        <w:spacing w:line="200" w:lineRule="exact"/>
        <w:ind w:firstLineChars="200" w:firstLine="341"/>
        <w:rPr>
          <w:b/>
          <w:bCs/>
          <w:spacing w:val="10"/>
          <w:sz w:val="15"/>
          <w:szCs w:val="15"/>
        </w:rPr>
      </w:pPr>
      <w:r>
        <w:rPr>
          <w:rFonts w:hint="eastAsia"/>
          <w:b/>
          <w:bCs/>
          <w:spacing w:val="10"/>
          <w:sz w:val="15"/>
          <w:szCs w:val="15"/>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CF1BA8" w:rsidRDefault="00CF1BA8" w:rsidP="00CF1BA8">
      <w:pPr>
        <w:numPr>
          <w:ilvl w:val="0"/>
          <w:numId w:val="19"/>
        </w:numPr>
        <w:spacing w:line="200" w:lineRule="exact"/>
        <w:ind w:firstLineChars="200" w:firstLine="340"/>
        <w:rPr>
          <w:spacing w:val="10"/>
          <w:sz w:val="15"/>
          <w:szCs w:val="15"/>
        </w:rPr>
      </w:pPr>
      <w:r>
        <w:rPr>
          <w:rFonts w:hint="eastAsia"/>
          <w:spacing w:val="10"/>
          <w:sz w:val="15"/>
          <w:szCs w:val="15"/>
        </w:rPr>
        <w:t>法律法规规定及理财产品销售文件中约定的其他权利与义务。</w:t>
      </w:r>
    </w:p>
    <w:p w:rsidR="00CF1BA8" w:rsidRDefault="00CF1BA8" w:rsidP="00CF1BA8">
      <w:pPr>
        <w:spacing w:line="200" w:lineRule="exact"/>
        <w:ind w:firstLineChars="200" w:firstLine="341"/>
        <w:rPr>
          <w:spacing w:val="10"/>
          <w:sz w:val="15"/>
          <w:szCs w:val="15"/>
        </w:rPr>
      </w:pPr>
      <w:r>
        <w:rPr>
          <w:b/>
          <w:bCs/>
          <w:spacing w:val="10"/>
          <w:sz w:val="15"/>
          <w:szCs w:val="15"/>
        </w:rPr>
        <w:t>5.</w:t>
      </w:r>
      <w:r>
        <w:rPr>
          <w:rFonts w:hint="eastAsia"/>
          <w:b/>
          <w:bCs/>
          <w:spacing w:val="10"/>
          <w:sz w:val="15"/>
          <w:szCs w:val="15"/>
        </w:rPr>
        <w:t>产品认购或申购、赎回</w:t>
      </w:r>
    </w:p>
    <w:p w:rsidR="00CF1BA8" w:rsidRDefault="00CF1BA8" w:rsidP="00CF1BA8">
      <w:pPr>
        <w:numPr>
          <w:ilvl w:val="0"/>
          <w:numId w:val="20"/>
        </w:numPr>
        <w:spacing w:line="200" w:lineRule="exact"/>
        <w:rPr>
          <w:spacing w:val="10"/>
          <w:sz w:val="15"/>
          <w:szCs w:val="15"/>
        </w:rPr>
      </w:pPr>
      <w:r>
        <w:rPr>
          <w:rFonts w:hint="eastAsia"/>
          <w:spacing w:val="10"/>
          <w:sz w:val="15"/>
          <w:szCs w:val="15"/>
        </w:rPr>
        <w:t>理财产品认购或申购：参照《投资者权益须知》约定。</w:t>
      </w:r>
    </w:p>
    <w:p w:rsidR="00CF1BA8" w:rsidRDefault="00CF1BA8" w:rsidP="00CF1BA8">
      <w:pPr>
        <w:numPr>
          <w:ilvl w:val="0"/>
          <w:numId w:val="20"/>
        </w:numPr>
        <w:spacing w:line="200" w:lineRule="exact"/>
        <w:ind w:firstLineChars="200" w:firstLine="340"/>
        <w:rPr>
          <w:spacing w:val="10"/>
          <w:sz w:val="15"/>
          <w:szCs w:val="15"/>
        </w:rPr>
      </w:pPr>
      <w:r>
        <w:rPr>
          <w:rFonts w:hint="eastAsia"/>
          <w:spacing w:val="10"/>
          <w:sz w:val="15"/>
          <w:szCs w:val="15"/>
        </w:rPr>
        <w:t>理财产品认购或申购撤销申请：乙方在理财产品募集期或开放期或投资冷静期（私募产品适用）内，可以撤销理财产品相应的认购或申购申请。</w:t>
      </w:r>
    </w:p>
    <w:p w:rsidR="00CF1BA8" w:rsidRDefault="00CF1BA8" w:rsidP="00CF1BA8">
      <w:pPr>
        <w:numPr>
          <w:ilvl w:val="0"/>
          <w:numId w:val="20"/>
        </w:numPr>
        <w:spacing w:line="200" w:lineRule="exact"/>
        <w:ind w:firstLineChars="200" w:firstLine="340"/>
        <w:rPr>
          <w:spacing w:val="10"/>
          <w:sz w:val="15"/>
          <w:szCs w:val="15"/>
        </w:rPr>
      </w:pPr>
      <w:r>
        <w:rPr>
          <w:rFonts w:hint="eastAsia"/>
          <w:spacing w:val="10"/>
          <w:sz w:val="15"/>
          <w:szCs w:val="15"/>
        </w:rPr>
        <w:t>理财产品不成立：若在募集期结束日，本理财产品发行规模未能达到对应期次的《理财产品说明书》规定的要求，甲方有权决定本理财产品不成立，甲方将按对应期次的《理财产品说明书》约定条款向乙方进行信息披露，销售机构及时解除对乙方授权指定账户中认购或申购资金的冻结或返还认购或申购资金。</w:t>
      </w:r>
    </w:p>
    <w:p w:rsidR="00CF1BA8" w:rsidRDefault="00CF1BA8" w:rsidP="00CF1BA8">
      <w:pPr>
        <w:numPr>
          <w:ilvl w:val="0"/>
          <w:numId w:val="20"/>
        </w:numPr>
        <w:spacing w:line="200" w:lineRule="exact"/>
        <w:ind w:firstLineChars="200" w:firstLine="340"/>
        <w:rPr>
          <w:spacing w:val="10"/>
          <w:sz w:val="15"/>
          <w:szCs w:val="15"/>
        </w:rPr>
      </w:pPr>
      <w:r>
        <w:rPr>
          <w:rFonts w:hint="eastAsia"/>
          <w:spacing w:val="10"/>
          <w:sz w:val="15"/>
          <w:szCs w:val="15"/>
        </w:rPr>
        <w:t>理财产品投资品种、投资起点金额、收益支付方式：参照对应期次的《理财产品说明书》中的约定。</w:t>
      </w:r>
    </w:p>
    <w:p w:rsidR="00CF1BA8" w:rsidRDefault="00CF1BA8" w:rsidP="00CF1BA8">
      <w:pPr>
        <w:numPr>
          <w:ilvl w:val="0"/>
          <w:numId w:val="20"/>
        </w:numPr>
        <w:spacing w:line="200" w:lineRule="exact"/>
        <w:ind w:firstLineChars="200" w:firstLine="340"/>
        <w:rPr>
          <w:spacing w:val="10"/>
          <w:sz w:val="15"/>
          <w:szCs w:val="15"/>
        </w:rPr>
      </w:pPr>
      <w:r>
        <w:rPr>
          <w:rFonts w:hint="eastAsia"/>
          <w:spacing w:val="10"/>
          <w:sz w:val="15"/>
          <w:szCs w:val="15"/>
        </w:rPr>
        <w:t>理财产品赎回资金支付：在正常情况下，甲方将按照本协议及对应期次的《理财产品说明书》的相关约定进行赎回资金划付。</w:t>
      </w:r>
      <w:r>
        <w:rPr>
          <w:rFonts w:hint="eastAsia"/>
          <w:b/>
          <w:bCs/>
          <w:spacing w:val="10"/>
          <w:sz w:val="15"/>
          <w:szCs w:val="15"/>
        </w:rPr>
        <w:t>如果发生特殊情形，造成本理财产品的投资资产无法及时、足额变现，甲方可以根据实际情况选择向乙方提前支付、延迟支付或者分次支付，并及时根据法律法规的要求向乙方披露支付方案。</w:t>
      </w:r>
    </w:p>
    <w:p w:rsidR="00CF1BA8" w:rsidRDefault="00CF1BA8" w:rsidP="00CF1BA8">
      <w:pPr>
        <w:spacing w:line="200" w:lineRule="exact"/>
        <w:ind w:firstLineChars="200" w:firstLine="341"/>
        <w:rPr>
          <w:b/>
          <w:bCs/>
          <w:spacing w:val="10"/>
          <w:sz w:val="15"/>
          <w:szCs w:val="15"/>
        </w:rPr>
      </w:pPr>
      <w:r>
        <w:rPr>
          <w:b/>
          <w:bCs/>
          <w:spacing w:val="10"/>
          <w:sz w:val="15"/>
          <w:szCs w:val="15"/>
        </w:rPr>
        <w:t>6.</w:t>
      </w:r>
      <w:r>
        <w:rPr>
          <w:rFonts w:hint="eastAsia"/>
          <w:b/>
          <w:bCs/>
          <w:spacing w:val="10"/>
          <w:sz w:val="15"/>
          <w:szCs w:val="15"/>
        </w:rPr>
        <w:t>产品的终止</w:t>
      </w:r>
    </w:p>
    <w:p w:rsidR="00CF1BA8" w:rsidRDefault="00CF1BA8" w:rsidP="00CF1BA8">
      <w:pPr>
        <w:spacing w:line="200" w:lineRule="exact"/>
        <w:ind w:firstLineChars="200" w:firstLine="300"/>
        <w:rPr>
          <w:color w:val="3D3D3D"/>
          <w:kern w:val="0"/>
          <w:sz w:val="15"/>
          <w:szCs w:val="15"/>
        </w:rPr>
      </w:pPr>
      <w:r>
        <w:rPr>
          <w:rFonts w:hint="eastAsia"/>
          <w:color w:val="3D3D3D"/>
          <w:kern w:val="0"/>
          <w:sz w:val="15"/>
          <w:szCs w:val="15"/>
        </w:rPr>
        <w:t>若本理财产品未提前终止或延期终止，则到期日</w:t>
      </w:r>
      <w:r>
        <w:rPr>
          <w:color w:val="3D3D3D"/>
          <w:kern w:val="0"/>
          <w:sz w:val="15"/>
          <w:szCs w:val="15"/>
        </w:rPr>
        <w:t>/</w:t>
      </w:r>
      <w:r>
        <w:rPr>
          <w:rFonts w:hint="eastAsia"/>
          <w:color w:val="3D3D3D"/>
          <w:kern w:val="0"/>
          <w:sz w:val="15"/>
          <w:szCs w:val="15"/>
        </w:rPr>
        <w:t>终止日即为名义到期日；若本理财产品被提前终止，则到期日</w:t>
      </w:r>
      <w:r>
        <w:rPr>
          <w:color w:val="3D3D3D"/>
          <w:kern w:val="0"/>
          <w:sz w:val="15"/>
          <w:szCs w:val="15"/>
        </w:rPr>
        <w:t>/</w:t>
      </w:r>
      <w:r>
        <w:rPr>
          <w:rFonts w:hint="eastAsia"/>
          <w:color w:val="3D3D3D"/>
          <w:kern w:val="0"/>
          <w:sz w:val="15"/>
          <w:szCs w:val="15"/>
        </w:rPr>
        <w:t>终止日为提前终止权行使日；若本理财产品被延期终止，则到期日</w:t>
      </w:r>
      <w:r>
        <w:rPr>
          <w:color w:val="3D3D3D"/>
          <w:kern w:val="0"/>
          <w:sz w:val="15"/>
          <w:szCs w:val="15"/>
        </w:rPr>
        <w:t>/</w:t>
      </w:r>
      <w:r>
        <w:rPr>
          <w:rFonts w:hint="eastAsia"/>
          <w:color w:val="3D3D3D"/>
          <w:kern w:val="0"/>
          <w:sz w:val="15"/>
          <w:szCs w:val="15"/>
        </w:rPr>
        <w:t>终止日为延期终止日。</w:t>
      </w:r>
    </w:p>
    <w:p w:rsidR="00CF1BA8" w:rsidRDefault="00CF1BA8" w:rsidP="00CF1BA8">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1</w:t>
      </w:r>
      <w:r>
        <w:rPr>
          <w:rFonts w:hint="eastAsia"/>
          <w:b/>
          <w:bCs/>
          <w:spacing w:val="10"/>
          <w:sz w:val="15"/>
          <w:szCs w:val="15"/>
        </w:rPr>
        <w:t>）理财产品提前终止</w:t>
      </w:r>
    </w:p>
    <w:p w:rsidR="00CF1BA8" w:rsidRDefault="00CF1BA8" w:rsidP="00CF1BA8">
      <w:pPr>
        <w:spacing w:line="200" w:lineRule="exact"/>
        <w:ind w:firstLineChars="200" w:firstLine="340"/>
        <w:rPr>
          <w:bCs/>
          <w:spacing w:val="10"/>
          <w:sz w:val="15"/>
          <w:szCs w:val="15"/>
        </w:rPr>
      </w:pPr>
      <w:r>
        <w:rPr>
          <w:rFonts w:hint="eastAsia"/>
          <w:bCs/>
          <w:spacing w:val="10"/>
          <w:sz w:val="15"/>
          <w:szCs w:val="15"/>
        </w:rPr>
        <w:t>在理财产品存续期内，如发生以下事项时，南银理财可对本理财产品行使全部提前终止权：</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如因本理财产品资产运作模式、投资资产等与法律法规、规章的规定或者监管部门的要求等存在冲突导致理财产品必须提前终止的；</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国家有关法律、法规、规章、监管规定、政策的改变、紧急措施的出台、理财市场环境发生重大变化等导致理财产品必须提前终止的；</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因不可抗力因素导致本理财产品必须提前终止的；</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遇有市场出现剧烈波动、异常风险事件等情形导致理财产品收益出现大幅波动或严重影响理财产品的资产安全；</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因投资者理财资金被有权机关扣划等原因导致理财产品剩余资产无法满足相关法律法规规定、所投资市场要求或协议等相关法律文件约定，或者继续存续无法实现投资目标；</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因管理人解散、破产、撤销、被取消业务资格等原因无法继续履行相应职责导致产品无法继续运作；</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理财产品所投资资产部分或全部提前偿付；</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提前终止产品比维持产品运作更有利于保护产品持有人的权益；</w:t>
      </w:r>
    </w:p>
    <w:p w:rsidR="00CF1BA8" w:rsidRDefault="00CF1BA8" w:rsidP="00CF1BA8">
      <w:pPr>
        <w:pStyle w:val="12"/>
        <w:numPr>
          <w:ilvl w:val="0"/>
          <w:numId w:val="21"/>
        </w:numPr>
        <w:spacing w:line="200" w:lineRule="exact"/>
        <w:ind w:firstLineChars="0"/>
        <w:rPr>
          <w:bCs/>
          <w:spacing w:val="10"/>
          <w:sz w:val="15"/>
          <w:szCs w:val="15"/>
        </w:rPr>
      </w:pPr>
      <w:r>
        <w:rPr>
          <w:rFonts w:hint="eastAsia"/>
          <w:bCs/>
          <w:spacing w:val="10"/>
          <w:sz w:val="15"/>
          <w:szCs w:val="15"/>
        </w:rPr>
        <w:t>南银理财合理认为应该提前终止本理财产品的其他情况。</w:t>
      </w:r>
    </w:p>
    <w:p w:rsidR="00CF1BA8" w:rsidRDefault="00CF1BA8" w:rsidP="00CF1BA8">
      <w:pPr>
        <w:pStyle w:val="12"/>
        <w:spacing w:line="200" w:lineRule="exact"/>
        <w:ind w:left="340" w:firstLineChars="0" w:firstLine="0"/>
        <w:rPr>
          <w:bCs/>
          <w:spacing w:val="10"/>
          <w:sz w:val="15"/>
          <w:szCs w:val="15"/>
        </w:rPr>
      </w:pPr>
      <w:r>
        <w:rPr>
          <w:rFonts w:hint="eastAsia"/>
          <w:bCs/>
          <w:spacing w:val="10"/>
          <w:sz w:val="15"/>
          <w:szCs w:val="15"/>
        </w:rPr>
        <w:t>南银理财如提前终止本理财产品，应根据本理财产品销售文件约定的方式进行信息披露。</w:t>
      </w:r>
    </w:p>
    <w:p w:rsidR="00CF1BA8" w:rsidRDefault="00CF1BA8" w:rsidP="00CF1BA8">
      <w:pPr>
        <w:spacing w:line="200" w:lineRule="exact"/>
        <w:ind w:firstLineChars="200" w:firstLine="341"/>
        <w:rPr>
          <w:b/>
          <w:bCs/>
          <w:spacing w:val="10"/>
          <w:sz w:val="15"/>
          <w:szCs w:val="15"/>
        </w:rPr>
      </w:pPr>
      <w:r>
        <w:rPr>
          <w:rFonts w:hint="eastAsia"/>
          <w:b/>
          <w:bCs/>
          <w:spacing w:val="10"/>
          <w:sz w:val="15"/>
          <w:szCs w:val="15"/>
        </w:rPr>
        <w:t>（</w:t>
      </w:r>
      <w:r>
        <w:rPr>
          <w:b/>
          <w:bCs/>
          <w:spacing w:val="10"/>
          <w:sz w:val="15"/>
          <w:szCs w:val="15"/>
        </w:rPr>
        <w:t>2</w:t>
      </w:r>
      <w:r>
        <w:rPr>
          <w:rFonts w:hint="eastAsia"/>
          <w:b/>
          <w:bCs/>
          <w:spacing w:val="10"/>
          <w:sz w:val="15"/>
          <w:szCs w:val="15"/>
        </w:rPr>
        <w:t>）理财产品的延期终止</w:t>
      </w:r>
    </w:p>
    <w:p w:rsidR="00CF1BA8" w:rsidRDefault="00CF1BA8" w:rsidP="00CF1BA8">
      <w:pPr>
        <w:spacing w:line="200" w:lineRule="exact"/>
        <w:ind w:left="340"/>
        <w:rPr>
          <w:bCs/>
          <w:spacing w:val="10"/>
          <w:sz w:val="15"/>
          <w:szCs w:val="15"/>
        </w:rPr>
      </w:pPr>
      <w:r>
        <w:rPr>
          <w:rFonts w:hint="eastAsia"/>
          <w:bCs/>
          <w:spacing w:val="10"/>
          <w:sz w:val="15"/>
          <w:szCs w:val="15"/>
        </w:rPr>
        <w:t>在理财产品存续期内，如发生以下事项时，南银理财有权推迟本理财产品终止日：</w:t>
      </w:r>
    </w:p>
    <w:p w:rsidR="00CF1BA8" w:rsidRDefault="00CF1BA8" w:rsidP="00CF1BA8">
      <w:pPr>
        <w:pStyle w:val="12"/>
        <w:numPr>
          <w:ilvl w:val="0"/>
          <w:numId w:val="22"/>
        </w:numPr>
        <w:spacing w:line="200" w:lineRule="exact"/>
        <w:ind w:firstLineChars="0"/>
        <w:rPr>
          <w:bCs/>
          <w:spacing w:val="10"/>
          <w:sz w:val="15"/>
          <w:szCs w:val="15"/>
        </w:rPr>
      </w:pPr>
      <w:r>
        <w:rPr>
          <w:rFonts w:hint="eastAsia"/>
          <w:bCs/>
          <w:spacing w:val="10"/>
          <w:sz w:val="15"/>
          <w:szCs w:val="15"/>
        </w:rPr>
        <w:t>产品到期日遇非工作日，产品到期日顺延至下一工作日；</w:t>
      </w:r>
    </w:p>
    <w:p w:rsidR="00CF1BA8" w:rsidRDefault="00CF1BA8" w:rsidP="00CF1BA8">
      <w:pPr>
        <w:pStyle w:val="12"/>
        <w:numPr>
          <w:ilvl w:val="0"/>
          <w:numId w:val="22"/>
        </w:numPr>
        <w:spacing w:line="200" w:lineRule="exact"/>
        <w:ind w:firstLineChars="0"/>
        <w:rPr>
          <w:bCs/>
          <w:spacing w:val="10"/>
          <w:sz w:val="15"/>
          <w:szCs w:val="15"/>
        </w:rPr>
      </w:pPr>
      <w:r>
        <w:rPr>
          <w:rFonts w:hint="eastAsia"/>
          <w:bCs/>
          <w:spacing w:val="10"/>
          <w:sz w:val="15"/>
          <w:szCs w:val="15"/>
        </w:rPr>
        <w:t>因市场成交量不足、资产限制赎回、暂停交易、缺乏意愿交易对手等原因，导致产品所投资的资产无法及时全部变现；</w:t>
      </w:r>
    </w:p>
    <w:p w:rsidR="00CF1BA8" w:rsidRDefault="00CF1BA8" w:rsidP="00CF1BA8">
      <w:pPr>
        <w:pStyle w:val="12"/>
        <w:numPr>
          <w:ilvl w:val="0"/>
          <w:numId w:val="22"/>
        </w:numPr>
        <w:spacing w:line="200" w:lineRule="exact"/>
        <w:ind w:firstLineChars="0"/>
        <w:rPr>
          <w:bCs/>
          <w:spacing w:val="10"/>
          <w:sz w:val="15"/>
          <w:szCs w:val="15"/>
        </w:rPr>
      </w:pPr>
      <w:r>
        <w:rPr>
          <w:rFonts w:hint="eastAsia"/>
          <w:bCs/>
          <w:spacing w:val="10"/>
          <w:sz w:val="15"/>
          <w:szCs w:val="15"/>
        </w:rPr>
        <w:t>因资金在途等原因，导致未能及时收回资金；</w:t>
      </w:r>
    </w:p>
    <w:p w:rsidR="00CF1BA8" w:rsidRDefault="00CF1BA8" w:rsidP="00CF1BA8">
      <w:pPr>
        <w:pStyle w:val="12"/>
        <w:numPr>
          <w:ilvl w:val="0"/>
          <w:numId w:val="22"/>
        </w:numPr>
        <w:spacing w:line="200" w:lineRule="exact"/>
        <w:ind w:firstLineChars="0"/>
        <w:rPr>
          <w:bCs/>
          <w:spacing w:val="10"/>
          <w:sz w:val="15"/>
          <w:szCs w:val="15"/>
        </w:rPr>
      </w:pPr>
      <w:r>
        <w:rPr>
          <w:rFonts w:hint="eastAsia"/>
          <w:bCs/>
          <w:spacing w:val="10"/>
          <w:sz w:val="15"/>
          <w:szCs w:val="15"/>
        </w:rPr>
        <w:t>因不可抗力等原因，导致管理人无法及时收回资金及</w:t>
      </w:r>
      <w:r>
        <w:rPr>
          <w:bCs/>
          <w:spacing w:val="10"/>
          <w:sz w:val="15"/>
          <w:szCs w:val="15"/>
        </w:rPr>
        <w:t>/</w:t>
      </w:r>
      <w:r>
        <w:rPr>
          <w:rFonts w:hint="eastAsia"/>
          <w:bCs/>
          <w:spacing w:val="10"/>
          <w:sz w:val="15"/>
          <w:szCs w:val="15"/>
        </w:rPr>
        <w:t>或进行理财资金清算分配的；</w:t>
      </w:r>
    </w:p>
    <w:p w:rsidR="00CF1BA8" w:rsidRDefault="00CF1BA8" w:rsidP="00CF1BA8">
      <w:pPr>
        <w:pStyle w:val="12"/>
        <w:numPr>
          <w:ilvl w:val="0"/>
          <w:numId w:val="22"/>
        </w:numPr>
        <w:spacing w:line="200" w:lineRule="exact"/>
        <w:ind w:firstLineChars="0"/>
        <w:rPr>
          <w:bCs/>
          <w:spacing w:val="10"/>
          <w:sz w:val="15"/>
          <w:szCs w:val="15"/>
        </w:rPr>
      </w:pPr>
      <w:r>
        <w:rPr>
          <w:rFonts w:hint="eastAsia"/>
          <w:bCs/>
          <w:spacing w:val="10"/>
          <w:sz w:val="15"/>
          <w:szCs w:val="15"/>
        </w:rPr>
        <w:t>理财产品资产涉及诉讼（或仲裁），且预计诉讼（或仲裁）及执行程序于理财产品名义到期日尚未终结；</w:t>
      </w:r>
    </w:p>
    <w:p w:rsidR="00CF1BA8" w:rsidRDefault="00CF1BA8" w:rsidP="00CF1BA8">
      <w:pPr>
        <w:pStyle w:val="12"/>
        <w:numPr>
          <w:ilvl w:val="0"/>
          <w:numId w:val="22"/>
        </w:numPr>
        <w:spacing w:line="200" w:lineRule="exact"/>
        <w:ind w:firstLineChars="0"/>
        <w:rPr>
          <w:bCs/>
          <w:spacing w:val="10"/>
          <w:sz w:val="15"/>
          <w:szCs w:val="15"/>
        </w:rPr>
      </w:pPr>
      <w:r>
        <w:rPr>
          <w:rFonts w:hint="eastAsia"/>
          <w:bCs/>
          <w:spacing w:val="10"/>
          <w:sz w:val="15"/>
          <w:szCs w:val="15"/>
        </w:rPr>
        <w:t>其他管理人认为需要延期的情形；</w:t>
      </w:r>
    </w:p>
    <w:p w:rsidR="00CF1BA8" w:rsidRDefault="00CF1BA8" w:rsidP="00CF1BA8">
      <w:pPr>
        <w:pStyle w:val="12"/>
        <w:numPr>
          <w:ilvl w:val="0"/>
          <w:numId w:val="22"/>
        </w:numPr>
        <w:spacing w:line="200" w:lineRule="exact"/>
        <w:ind w:firstLineChars="0"/>
        <w:rPr>
          <w:bCs/>
          <w:spacing w:val="10"/>
          <w:sz w:val="15"/>
          <w:szCs w:val="15"/>
        </w:rPr>
      </w:pPr>
      <w:r>
        <w:rPr>
          <w:rFonts w:hint="eastAsia"/>
          <w:bCs/>
          <w:spacing w:val="10"/>
          <w:sz w:val="15"/>
          <w:szCs w:val="15"/>
        </w:rPr>
        <w:t>法律规定的及本理财产品销售文件约定的其他情形。</w:t>
      </w:r>
    </w:p>
    <w:p w:rsidR="00CF1BA8" w:rsidRDefault="00CF1BA8" w:rsidP="00CF1BA8">
      <w:pPr>
        <w:spacing w:line="200" w:lineRule="exact"/>
        <w:ind w:left="340"/>
        <w:rPr>
          <w:bCs/>
          <w:spacing w:val="10"/>
          <w:sz w:val="15"/>
          <w:szCs w:val="15"/>
        </w:rPr>
      </w:pPr>
      <w:r>
        <w:rPr>
          <w:rFonts w:hint="eastAsia"/>
          <w:spacing w:val="10"/>
          <w:sz w:val="15"/>
          <w:szCs w:val="15"/>
        </w:rPr>
        <w:t>南银理财</w:t>
      </w:r>
      <w:r>
        <w:rPr>
          <w:rFonts w:hint="eastAsia"/>
          <w:bCs/>
          <w:spacing w:val="10"/>
          <w:sz w:val="15"/>
          <w:szCs w:val="15"/>
        </w:rPr>
        <w:t>如推迟本理财产品到期日，应根据本理财产品销售文件约定的方式进行信息披露。</w:t>
      </w:r>
    </w:p>
    <w:p w:rsidR="00CF1BA8" w:rsidRDefault="00CF1BA8" w:rsidP="00CF1BA8">
      <w:pPr>
        <w:spacing w:line="200" w:lineRule="exact"/>
        <w:ind w:firstLineChars="200" w:firstLine="341"/>
        <w:rPr>
          <w:b/>
          <w:spacing w:val="10"/>
          <w:sz w:val="15"/>
          <w:szCs w:val="15"/>
        </w:rPr>
      </w:pPr>
      <w:r>
        <w:rPr>
          <w:rFonts w:hint="eastAsia"/>
          <w:b/>
          <w:spacing w:val="10"/>
          <w:sz w:val="15"/>
          <w:szCs w:val="15"/>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rsidR="00CF1BA8" w:rsidRDefault="00CF1BA8" w:rsidP="00CF1BA8">
      <w:pPr>
        <w:spacing w:line="200" w:lineRule="exact"/>
        <w:ind w:firstLineChars="200" w:firstLine="341"/>
        <w:rPr>
          <w:b/>
          <w:spacing w:val="10"/>
          <w:sz w:val="15"/>
          <w:szCs w:val="15"/>
        </w:rPr>
      </w:pPr>
      <w:r>
        <w:rPr>
          <w:b/>
          <w:spacing w:val="10"/>
          <w:sz w:val="15"/>
          <w:szCs w:val="15"/>
        </w:rPr>
        <w:t>7.</w:t>
      </w:r>
      <w:r>
        <w:rPr>
          <w:rFonts w:hint="eastAsia"/>
          <w:b/>
          <w:spacing w:val="10"/>
          <w:sz w:val="15"/>
          <w:szCs w:val="15"/>
        </w:rPr>
        <w:t>产品资产的清算</w:t>
      </w:r>
      <w:r>
        <w:rPr>
          <w:b/>
          <w:spacing w:val="10"/>
          <w:sz w:val="15"/>
          <w:szCs w:val="15"/>
        </w:rPr>
        <w:t xml:space="preserve"> </w:t>
      </w:r>
    </w:p>
    <w:p w:rsidR="00CF1BA8" w:rsidRDefault="00CF1BA8" w:rsidP="00CF1BA8">
      <w:pPr>
        <w:spacing w:line="200" w:lineRule="exact"/>
        <w:ind w:firstLineChars="200" w:firstLine="340"/>
        <w:rPr>
          <w:b/>
          <w:spacing w:val="10"/>
          <w:sz w:val="15"/>
          <w:szCs w:val="15"/>
        </w:rPr>
      </w:pPr>
      <w:r>
        <w:rPr>
          <w:rFonts w:hint="eastAsia"/>
          <w:bCs/>
          <w:spacing w:val="10"/>
          <w:sz w:val="15"/>
          <w:szCs w:val="15"/>
        </w:rPr>
        <w:t>自本理财产品终止日至投资者理财本金及收益到账日之间为本理财产品的清算期，</w:t>
      </w:r>
      <w:r>
        <w:rPr>
          <w:rFonts w:hint="eastAsia"/>
          <w:b/>
          <w:spacing w:val="10"/>
          <w:sz w:val="15"/>
          <w:szCs w:val="15"/>
        </w:rPr>
        <w:t>清算期不计算利息或投资收益</w:t>
      </w:r>
      <w:r>
        <w:rPr>
          <w:rFonts w:hint="eastAsia"/>
          <w:bCs/>
          <w:spacing w:val="10"/>
          <w:sz w:val="15"/>
          <w:szCs w:val="15"/>
        </w:rPr>
        <w:t>。</w:t>
      </w:r>
      <w:r>
        <w:rPr>
          <w:rFonts w:hint="eastAsia"/>
          <w:b/>
          <w:spacing w:val="10"/>
          <w:sz w:val="15"/>
          <w:szCs w:val="15"/>
        </w:rPr>
        <w:t>甲方将根据对应期次</w:t>
      </w:r>
      <w:r>
        <w:rPr>
          <w:rFonts w:hint="eastAsia"/>
          <w:b/>
          <w:spacing w:val="10"/>
          <w:sz w:val="15"/>
          <w:szCs w:val="15"/>
        </w:rPr>
        <w:lastRenderedPageBreak/>
        <w:t>《理财产品说明书》的约定将理财产品清算变现，</w:t>
      </w:r>
      <w:r>
        <w:rPr>
          <w:rFonts w:hint="eastAsia"/>
          <w:b/>
          <w:bCs/>
          <w:spacing w:val="10"/>
          <w:sz w:val="15"/>
          <w:szCs w:val="15"/>
        </w:rPr>
        <w:t>销售机构为甲方的情形下，甲方按照理财产品说明书约定向乙方进行理财产品份额的收益分配并将对应资金划入乙方授权指定账户后，即视为甲方已向乙方完成收益分配和资金的清算分配；销售机构非甲方的情形下，甲方按照理财产品说明书约定向乙方进行理财产品份额的收益分配并将对应资金划入销售机构账户后，由销售机构向乙方授权指定账户划付对应资金。</w:t>
      </w:r>
    </w:p>
    <w:p w:rsidR="00CF1BA8" w:rsidRDefault="00CF1BA8" w:rsidP="00CF1BA8">
      <w:pPr>
        <w:spacing w:line="200" w:lineRule="exact"/>
        <w:ind w:firstLineChars="200" w:firstLine="340"/>
        <w:rPr>
          <w:bCs/>
          <w:spacing w:val="10"/>
          <w:sz w:val="15"/>
          <w:szCs w:val="15"/>
        </w:rPr>
      </w:pPr>
      <w:r>
        <w:rPr>
          <w:rFonts w:hint="eastAsia"/>
          <w:bCs/>
          <w:spacing w:val="10"/>
          <w:sz w:val="15"/>
          <w:szCs w:val="15"/>
        </w:rPr>
        <w:t>清算期原则上不得超过</w:t>
      </w:r>
      <w:r>
        <w:rPr>
          <w:bCs/>
          <w:spacing w:val="10"/>
          <w:sz w:val="15"/>
          <w:szCs w:val="15"/>
        </w:rPr>
        <w:t>5</w:t>
      </w:r>
      <w:r>
        <w:rPr>
          <w:rFonts w:hint="eastAsia"/>
          <w:bCs/>
          <w:spacing w:val="10"/>
          <w:sz w:val="15"/>
          <w:szCs w:val="15"/>
        </w:rPr>
        <w:t>个工作日，因清算期超过</w:t>
      </w:r>
      <w:r>
        <w:rPr>
          <w:bCs/>
          <w:spacing w:val="10"/>
          <w:sz w:val="15"/>
          <w:szCs w:val="15"/>
        </w:rPr>
        <w:t>5</w:t>
      </w:r>
      <w:r>
        <w:rPr>
          <w:rFonts w:hint="eastAsia"/>
          <w:bCs/>
          <w:spacing w:val="10"/>
          <w:sz w:val="15"/>
          <w:szCs w:val="15"/>
        </w:rPr>
        <w:t>个工作日的，应当在理财产品终止前，将依约定进行公告。</w:t>
      </w:r>
      <w:r>
        <w:rPr>
          <w:rFonts w:hint="eastAsia"/>
          <w:b/>
          <w:spacing w:val="10"/>
          <w:sz w:val="15"/>
          <w:szCs w:val="15"/>
        </w:rPr>
        <w:t>因本理财产品的投资资产无法及时、足额变现等原因，南银理财可以根据实际情况选择向投资者提前支付、延迟支付或者分次支付，并及时根据法律法规的要求向乙方披露支付方案。</w:t>
      </w:r>
    </w:p>
    <w:p w:rsidR="00CF1BA8" w:rsidRDefault="00CF1BA8" w:rsidP="00CF1BA8">
      <w:pPr>
        <w:spacing w:line="200" w:lineRule="exact"/>
        <w:ind w:firstLineChars="200" w:firstLine="341"/>
        <w:rPr>
          <w:b/>
          <w:bCs/>
          <w:spacing w:val="10"/>
          <w:sz w:val="15"/>
          <w:szCs w:val="15"/>
        </w:rPr>
      </w:pPr>
      <w:r>
        <w:rPr>
          <w:b/>
          <w:bCs/>
          <w:spacing w:val="10"/>
          <w:sz w:val="15"/>
          <w:szCs w:val="15"/>
        </w:rPr>
        <w:t>8.</w:t>
      </w:r>
      <w:r>
        <w:rPr>
          <w:rFonts w:hint="eastAsia"/>
          <w:b/>
          <w:bCs/>
          <w:spacing w:val="10"/>
          <w:sz w:val="15"/>
          <w:szCs w:val="15"/>
        </w:rPr>
        <w:t>特别提示</w:t>
      </w:r>
    </w:p>
    <w:p w:rsidR="00CF1BA8" w:rsidRDefault="00CF1BA8" w:rsidP="00CF1BA8">
      <w:pPr>
        <w:spacing w:line="200" w:lineRule="exact"/>
        <w:ind w:firstLineChars="200" w:firstLine="341"/>
        <w:rPr>
          <w:b/>
          <w:spacing w:val="10"/>
          <w:sz w:val="15"/>
          <w:szCs w:val="15"/>
        </w:rPr>
      </w:pPr>
      <w:r>
        <w:rPr>
          <w:rFonts w:hint="eastAsia"/>
          <w:b/>
          <w:spacing w:val="10"/>
          <w:sz w:val="15"/>
          <w:szCs w:val="15"/>
        </w:rPr>
        <w:t>在本理财产品存续期内：</w:t>
      </w:r>
    </w:p>
    <w:p w:rsidR="00CF1BA8" w:rsidRDefault="00CF1BA8" w:rsidP="00CF1BA8">
      <w:pPr>
        <w:numPr>
          <w:ilvl w:val="0"/>
          <w:numId w:val="23"/>
        </w:numPr>
        <w:spacing w:line="200" w:lineRule="exact"/>
        <w:ind w:firstLineChars="200" w:firstLine="341"/>
        <w:rPr>
          <w:b/>
          <w:spacing w:val="10"/>
          <w:sz w:val="15"/>
          <w:szCs w:val="15"/>
        </w:rPr>
      </w:pPr>
      <w:r>
        <w:rPr>
          <w:rFonts w:hint="eastAsia"/>
          <w:b/>
          <w:spacing w:val="1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CF1BA8" w:rsidRDefault="00CF1BA8" w:rsidP="00CF1BA8">
      <w:pPr>
        <w:numPr>
          <w:ilvl w:val="0"/>
          <w:numId w:val="23"/>
        </w:numPr>
        <w:spacing w:line="200" w:lineRule="exact"/>
        <w:ind w:firstLineChars="200" w:firstLine="341"/>
        <w:rPr>
          <w:b/>
          <w:spacing w:val="10"/>
          <w:sz w:val="15"/>
          <w:szCs w:val="15"/>
        </w:rPr>
      </w:pPr>
      <w:r>
        <w:rPr>
          <w:rFonts w:hint="eastAsia"/>
          <w:b/>
          <w:spacing w:val="10"/>
          <w:sz w:val="15"/>
          <w:szCs w:val="15"/>
        </w:rPr>
        <w:t>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CF1BA8" w:rsidRDefault="00CF1BA8" w:rsidP="00CF1BA8">
      <w:pPr>
        <w:numPr>
          <w:ilvl w:val="0"/>
          <w:numId w:val="23"/>
        </w:numPr>
        <w:spacing w:line="200" w:lineRule="exact"/>
        <w:ind w:firstLineChars="200" w:firstLine="341"/>
        <w:rPr>
          <w:b/>
          <w:bCs/>
          <w:spacing w:val="10"/>
          <w:sz w:val="15"/>
          <w:szCs w:val="15"/>
        </w:rPr>
      </w:pPr>
      <w:r>
        <w:rPr>
          <w:rFonts w:hint="eastAsia"/>
          <w:b/>
          <w:bCs/>
          <w:spacing w:val="10"/>
          <w:sz w:val="15"/>
          <w:szCs w:val="15"/>
        </w:rPr>
        <w:t>免责条款</w:t>
      </w:r>
    </w:p>
    <w:p w:rsidR="00CF1BA8" w:rsidRDefault="00CF1BA8" w:rsidP="00CF1BA8">
      <w:pPr>
        <w:pStyle w:val="12"/>
        <w:numPr>
          <w:ilvl w:val="0"/>
          <w:numId w:val="24"/>
        </w:numPr>
        <w:spacing w:line="200" w:lineRule="exact"/>
        <w:ind w:firstLineChars="0"/>
        <w:rPr>
          <w:b/>
          <w:bCs/>
          <w:spacing w:val="10"/>
          <w:sz w:val="15"/>
          <w:szCs w:val="15"/>
        </w:rPr>
      </w:pPr>
      <w:r>
        <w:rPr>
          <w:rFonts w:hint="eastAsia"/>
          <w:b/>
          <w:bCs/>
          <w:spacing w:val="10"/>
          <w:sz w:val="15"/>
          <w:szCs w:val="15"/>
        </w:rPr>
        <w:t>不合法。如果因遵守任何适用法律、法规、条例、规则、规定、裁决、命令或指令（不论是现行或将来实施的）而使得甲方履行协议项下的义务全部或部分成为不合法，甲方有权在任何时间向乙方发出通知提前终止受影响的理财产品，在此情况下甲方无需对乙方因提前终止投资而造成的任何损失承担任何责任。</w:t>
      </w:r>
    </w:p>
    <w:p w:rsidR="00CF1BA8" w:rsidRDefault="00CF1BA8" w:rsidP="00CF1BA8">
      <w:pPr>
        <w:pStyle w:val="12"/>
        <w:numPr>
          <w:ilvl w:val="0"/>
          <w:numId w:val="24"/>
        </w:numPr>
        <w:spacing w:line="200" w:lineRule="exact"/>
        <w:ind w:firstLineChars="0"/>
        <w:rPr>
          <w:b/>
          <w:spacing w:val="10"/>
          <w:sz w:val="15"/>
          <w:szCs w:val="15"/>
        </w:rPr>
      </w:pPr>
      <w:r>
        <w:rPr>
          <w:rFonts w:hint="eastAsia"/>
          <w:b/>
          <w:bCs/>
          <w:spacing w:val="10"/>
          <w:sz w:val="15"/>
          <w:szCs w:val="15"/>
        </w:rPr>
        <w:t>不可抗力。如果甲方认为由于自然灾害、地震、台风、海啸、洪水、火灾、停电、突发性公共卫生事件、罢工、内战、战争、军事行动、任何种类的恐怖活动、暴动、公众示威或抗议；新的适用法律或国家政策的颁布或实施、对原适用法律或国家政策的修改；中国內地或全球金融外汇市场发生致使甲方无法进行货币兑换、划转等的异常变化；任何政府机关或其他机关的行为（不论是在法律上或是在事实上）、法律、法规、条例、规则、规定、裁决、命令或指令（包括国有化或对外限制、外汇管制）、诉讼或威胁；因理财产品各方和</w:t>
      </w:r>
      <w:r>
        <w:rPr>
          <w:b/>
          <w:bCs/>
          <w:spacing w:val="10"/>
          <w:sz w:val="15"/>
          <w:szCs w:val="15"/>
        </w:rPr>
        <w:t>/</w:t>
      </w:r>
      <w:r>
        <w:rPr>
          <w:rFonts w:hint="eastAsia"/>
          <w:b/>
          <w:bCs/>
          <w:spacing w:val="10"/>
          <w:sz w:val="15"/>
          <w:szCs w:val="15"/>
        </w:rPr>
        <w:t>或其关联方运营网络系统遭受黑客攻击、电信部门技术调整或故障等原因而造成的理财产品各方和</w:t>
      </w:r>
      <w:r>
        <w:rPr>
          <w:b/>
          <w:bCs/>
          <w:spacing w:val="10"/>
          <w:sz w:val="15"/>
          <w:szCs w:val="15"/>
        </w:rPr>
        <w:t>/</w:t>
      </w:r>
      <w:r>
        <w:rPr>
          <w:rFonts w:hint="eastAsia"/>
          <w:b/>
          <w:bCs/>
          <w:spacing w:val="10"/>
          <w:sz w:val="15"/>
          <w:szCs w:val="15"/>
        </w:rPr>
        <w:t>或其关联方之服务、营业的中断或者延迟</w:t>
      </w:r>
      <w:r>
        <w:rPr>
          <w:b/>
          <w:bCs/>
          <w:spacing w:val="10"/>
          <w:sz w:val="15"/>
          <w:szCs w:val="15"/>
        </w:rPr>
        <w:t>;</w:t>
      </w:r>
      <w:r>
        <w:rPr>
          <w:rFonts w:hint="eastAsia"/>
          <w:b/>
          <w:bCs/>
          <w:spacing w:val="10"/>
          <w:sz w:val="15"/>
          <w:szCs w:val="15"/>
        </w:rPr>
        <w:t>或任何其他非甲方所能控制的情况或原因，导致甲方未能履行或需延迟履行协议项下或与理财产品相关的支付义务，甲方无需对乙方承担任何责任。尤其是，当资金存放在任何销售机构、托管人或代理人处而他们因上述原因被禁止向甲方付款或履行义务时，甲方亦无需向乙方负责。如果在一个支付日发生不可抗力（不论该不可抗力是否持续整个当日），与理财产品有关的相关回报或赎回金额（视情形而定）的支付将由甲方按完全自行酌情决定顺延至紧临的下一个不存在不可抗力的工作日。乙方将不会因此而收到额外的收益或者补偿。</w:t>
      </w:r>
    </w:p>
    <w:p w:rsidR="00CF1BA8" w:rsidRDefault="00CF1BA8" w:rsidP="00CF1BA8">
      <w:pPr>
        <w:pStyle w:val="12"/>
        <w:numPr>
          <w:ilvl w:val="0"/>
          <w:numId w:val="24"/>
        </w:numPr>
        <w:spacing w:line="200" w:lineRule="exact"/>
        <w:ind w:firstLineChars="0"/>
        <w:rPr>
          <w:b/>
          <w:bCs/>
          <w:spacing w:val="10"/>
          <w:sz w:val="15"/>
          <w:szCs w:val="15"/>
        </w:rPr>
      </w:pPr>
      <w:r>
        <w:rPr>
          <w:rFonts w:hint="eastAsia"/>
          <w:b/>
          <w:bCs/>
          <w:spacing w:val="10"/>
          <w:sz w:val="15"/>
          <w:szCs w:val="15"/>
        </w:rPr>
        <w:t>如乙方违反本协议的约定或其交易资金被国家有权机关采取强制措施，或甲方发现或有合理理由怀疑乙方或其资金存在洗钱、恐怖融资、逃税等嫌疑，或存在其他违法违规违反本约定行为的，甲方有权提前终止本协议。乙方承担由此给乙方造成的任何损失。</w:t>
      </w:r>
    </w:p>
    <w:p w:rsidR="00CF1BA8" w:rsidRDefault="00CF1BA8" w:rsidP="00CF1BA8">
      <w:pPr>
        <w:pStyle w:val="12"/>
        <w:numPr>
          <w:ilvl w:val="0"/>
          <w:numId w:val="24"/>
        </w:numPr>
        <w:spacing w:line="200" w:lineRule="exact"/>
        <w:ind w:firstLineChars="0"/>
        <w:rPr>
          <w:b/>
          <w:bCs/>
          <w:spacing w:val="10"/>
          <w:sz w:val="15"/>
          <w:szCs w:val="15"/>
        </w:rPr>
      </w:pPr>
      <w:r>
        <w:rPr>
          <w:rFonts w:hint="eastAsia"/>
          <w:b/>
          <w:bCs/>
          <w:spacing w:val="10"/>
          <w:sz w:val="15"/>
          <w:szCs w:val="15"/>
        </w:rPr>
        <w:t>本理财产品销售文件项下理财业务不受销售机构存款保险机制或其他保障机制保障。</w:t>
      </w:r>
    </w:p>
    <w:p w:rsidR="00CF1BA8" w:rsidRDefault="00CF1BA8" w:rsidP="00CF1BA8">
      <w:pPr>
        <w:numPr>
          <w:ilvl w:val="0"/>
          <w:numId w:val="23"/>
        </w:numPr>
        <w:spacing w:line="200" w:lineRule="exact"/>
        <w:ind w:firstLineChars="200" w:firstLine="340"/>
        <w:rPr>
          <w:spacing w:val="10"/>
          <w:sz w:val="15"/>
          <w:szCs w:val="15"/>
        </w:rPr>
      </w:pPr>
      <w:r>
        <w:rPr>
          <w:rFonts w:hint="eastAsia"/>
          <w:bCs/>
          <w:spacing w:val="10"/>
          <w:sz w:val="15"/>
          <w:szCs w:val="15"/>
        </w:rPr>
        <w:t>赔偿</w:t>
      </w:r>
      <w:r>
        <w:rPr>
          <w:rFonts w:hint="eastAsia"/>
          <w:spacing w:val="10"/>
          <w:sz w:val="15"/>
          <w:szCs w:val="15"/>
        </w:rPr>
        <w:t>及责任限制</w:t>
      </w:r>
    </w:p>
    <w:p w:rsidR="00CF1BA8" w:rsidRDefault="00CF1BA8" w:rsidP="00CF1BA8">
      <w:pPr>
        <w:spacing w:line="200" w:lineRule="exact"/>
        <w:ind w:firstLineChars="200" w:firstLine="340"/>
        <w:rPr>
          <w:spacing w:val="10"/>
          <w:sz w:val="15"/>
          <w:szCs w:val="15"/>
        </w:rPr>
      </w:pPr>
      <w:r>
        <w:rPr>
          <w:rFonts w:hint="eastAsia"/>
          <w:spacing w:val="10"/>
          <w:sz w:val="15"/>
          <w:szCs w:val="15"/>
        </w:rPr>
        <w:t>由于本协议一方当事人的过错，造成本协议不能履行或不能完全履行的，由有过错的一方承担违约责任；如双方同时负有过错，则应由双方各自按照过错程度承担责任。</w:t>
      </w:r>
    </w:p>
    <w:p w:rsidR="00CF1BA8" w:rsidRDefault="00CF1BA8" w:rsidP="00CF1BA8">
      <w:pPr>
        <w:spacing w:line="200" w:lineRule="exact"/>
        <w:ind w:firstLineChars="200" w:firstLine="340"/>
        <w:rPr>
          <w:spacing w:val="10"/>
          <w:sz w:val="15"/>
          <w:szCs w:val="15"/>
        </w:rPr>
      </w:pPr>
      <w:r>
        <w:rPr>
          <w:rFonts w:hint="eastAsia"/>
          <w:spacing w:val="10"/>
          <w:sz w:val="15"/>
          <w:szCs w:val="15"/>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rFonts w:hint="eastAsia"/>
          <w:b/>
          <w:bCs/>
          <w:spacing w:val="10"/>
          <w:sz w:val="15"/>
          <w:szCs w:val="15"/>
        </w:rPr>
        <w:t>特别地，尽管乙方可能给予相反的指示，如果甲方因需遵守适用法律、法规或规则（包括但不限于各种支付体系的规则和规定）或遵守与其他银行、金融机构达成的业务交易协议而导致甲方延迟执行乙方指示或者未能执行乙方指示或使乙方产生任何责任、损失或支出，甲方无需负责</w:t>
      </w:r>
      <w:r>
        <w:rPr>
          <w:rFonts w:hint="eastAsia"/>
          <w:spacing w:val="10"/>
          <w:sz w:val="15"/>
          <w:szCs w:val="15"/>
        </w:rPr>
        <w:t>。</w:t>
      </w:r>
    </w:p>
    <w:p w:rsidR="00CF1BA8" w:rsidRDefault="00CF1BA8" w:rsidP="00CF1BA8">
      <w:pPr>
        <w:numPr>
          <w:ilvl w:val="0"/>
          <w:numId w:val="23"/>
        </w:numPr>
        <w:spacing w:line="200" w:lineRule="exact"/>
        <w:ind w:firstLineChars="200" w:firstLine="340"/>
        <w:rPr>
          <w:spacing w:val="10"/>
          <w:sz w:val="15"/>
          <w:szCs w:val="15"/>
        </w:rPr>
      </w:pPr>
      <w:r>
        <w:rPr>
          <w:rFonts w:hint="eastAsia"/>
          <w:bCs/>
          <w:spacing w:val="10"/>
          <w:sz w:val="15"/>
          <w:szCs w:val="15"/>
        </w:rPr>
        <w:t>抵销</w:t>
      </w:r>
    </w:p>
    <w:p w:rsidR="00CF1BA8" w:rsidRDefault="00CF1BA8" w:rsidP="00CF1BA8">
      <w:pPr>
        <w:pStyle w:val="12"/>
        <w:numPr>
          <w:ilvl w:val="0"/>
          <w:numId w:val="25"/>
        </w:numPr>
        <w:spacing w:line="200" w:lineRule="exact"/>
        <w:ind w:firstLineChars="0"/>
        <w:rPr>
          <w:bCs/>
          <w:spacing w:val="10"/>
          <w:sz w:val="15"/>
          <w:szCs w:val="15"/>
        </w:rPr>
      </w:pPr>
      <w:r>
        <w:rPr>
          <w:rFonts w:hint="eastAsia"/>
          <w:b/>
          <w:spacing w:val="10"/>
          <w:sz w:val="15"/>
          <w:szCs w:val="15"/>
        </w:rPr>
        <w:t>除享有法律规定的或其他的抵销权利外，甲方有权（但无义务）将乙方欠付甲方的任何债务（不论是否已经到期、无论是否因协议而导致，也不论债务的结算货币、付款地或登记处）与甲方欠付乙方的任何债务（不论是否已经到期、无论是否因协议而导致，也不论债务的结算货币、付款地或登记处）进行抵销，而无须事先书面通知乙方或任何其他人员</w:t>
      </w:r>
      <w:r>
        <w:rPr>
          <w:rFonts w:hint="eastAsia"/>
          <w:bCs/>
          <w:spacing w:val="10"/>
          <w:sz w:val="15"/>
          <w:szCs w:val="15"/>
        </w:rPr>
        <w:t>。</w:t>
      </w:r>
    </w:p>
    <w:p w:rsidR="00CF1BA8" w:rsidRDefault="00CF1BA8" w:rsidP="00CF1BA8">
      <w:pPr>
        <w:pStyle w:val="12"/>
        <w:numPr>
          <w:ilvl w:val="0"/>
          <w:numId w:val="25"/>
        </w:numPr>
        <w:spacing w:line="200" w:lineRule="exact"/>
        <w:ind w:firstLineChars="0"/>
        <w:rPr>
          <w:bCs/>
          <w:spacing w:val="10"/>
          <w:sz w:val="15"/>
          <w:szCs w:val="15"/>
        </w:rPr>
      </w:pPr>
      <w:r>
        <w:rPr>
          <w:rFonts w:hint="eastAsia"/>
          <w:bCs/>
          <w:spacing w:val="10"/>
          <w:sz w:val="15"/>
          <w:szCs w:val="15"/>
        </w:rPr>
        <w:t>为了对不同货币进行抵销，甲方可在有关日期以甲方所选择适用的市场汇率将乙方的债务予以兑换。如果债务尚未确定，则甲方可估计该债务的数额后进行抵销，但甲方须在该债务得以确定时向乙方支付差额。</w:t>
      </w:r>
    </w:p>
    <w:p w:rsidR="00CF1BA8" w:rsidRDefault="00CF1BA8" w:rsidP="00CF1BA8">
      <w:pPr>
        <w:numPr>
          <w:ilvl w:val="0"/>
          <w:numId w:val="23"/>
        </w:numPr>
        <w:spacing w:line="200" w:lineRule="exact"/>
        <w:ind w:firstLineChars="200" w:firstLine="340"/>
        <w:rPr>
          <w:spacing w:val="10"/>
          <w:sz w:val="15"/>
          <w:szCs w:val="15"/>
        </w:rPr>
      </w:pPr>
      <w:r>
        <w:rPr>
          <w:rFonts w:hint="eastAsia"/>
          <w:bCs/>
          <w:spacing w:val="10"/>
          <w:sz w:val="15"/>
          <w:szCs w:val="15"/>
        </w:rPr>
        <w:t>弃权</w:t>
      </w:r>
    </w:p>
    <w:p w:rsidR="00CF1BA8" w:rsidRDefault="00CF1BA8" w:rsidP="00CF1BA8">
      <w:pPr>
        <w:spacing w:line="200" w:lineRule="exact"/>
        <w:ind w:firstLineChars="200" w:firstLine="340"/>
        <w:rPr>
          <w:spacing w:val="10"/>
          <w:sz w:val="15"/>
          <w:szCs w:val="15"/>
        </w:rPr>
      </w:pPr>
      <w:r>
        <w:rPr>
          <w:rFonts w:hint="eastAsia"/>
          <w:spacing w:val="10"/>
          <w:sz w:val="15"/>
          <w:szCs w:val="15"/>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rsidR="00CF1BA8" w:rsidRDefault="00CF1BA8" w:rsidP="00CF1BA8">
      <w:pPr>
        <w:numPr>
          <w:ilvl w:val="0"/>
          <w:numId w:val="23"/>
        </w:numPr>
        <w:spacing w:line="200" w:lineRule="exact"/>
        <w:ind w:firstLineChars="200" w:firstLine="340"/>
        <w:rPr>
          <w:spacing w:val="10"/>
          <w:sz w:val="15"/>
          <w:szCs w:val="15"/>
        </w:rPr>
      </w:pPr>
      <w:r>
        <w:rPr>
          <w:rFonts w:hint="eastAsia"/>
          <w:spacing w:val="10"/>
          <w:sz w:val="15"/>
          <w:szCs w:val="15"/>
        </w:rPr>
        <w:t>可分割性</w:t>
      </w:r>
    </w:p>
    <w:p w:rsidR="00CF1BA8" w:rsidRDefault="00CF1BA8" w:rsidP="00CF1BA8">
      <w:pPr>
        <w:spacing w:line="200" w:lineRule="exact"/>
        <w:ind w:firstLineChars="200" w:firstLine="340"/>
        <w:rPr>
          <w:spacing w:val="10"/>
          <w:sz w:val="15"/>
          <w:szCs w:val="15"/>
        </w:rPr>
      </w:pPr>
      <w:r>
        <w:rPr>
          <w:rFonts w:hint="eastAsia"/>
          <w:spacing w:val="10"/>
          <w:sz w:val="15"/>
          <w:szCs w:val="15"/>
        </w:rPr>
        <w:t>协议的任何条款在任何方面的非法、无效或不可强制执行，不影响协议的其他条款的合法性、有效性或可强制执行。</w:t>
      </w:r>
    </w:p>
    <w:p w:rsidR="00CF1BA8" w:rsidRDefault="00CF1BA8" w:rsidP="00CF1BA8">
      <w:pPr>
        <w:numPr>
          <w:ilvl w:val="0"/>
          <w:numId w:val="23"/>
        </w:numPr>
        <w:spacing w:line="200" w:lineRule="exact"/>
        <w:ind w:firstLineChars="200" w:firstLine="340"/>
        <w:rPr>
          <w:spacing w:val="10"/>
          <w:sz w:val="15"/>
          <w:szCs w:val="15"/>
        </w:rPr>
      </w:pPr>
      <w:r>
        <w:rPr>
          <w:rFonts w:hint="eastAsia"/>
          <w:spacing w:val="10"/>
          <w:sz w:val="15"/>
          <w:szCs w:val="15"/>
        </w:rPr>
        <w:t>税收条款</w:t>
      </w:r>
    </w:p>
    <w:p w:rsidR="00CF1BA8" w:rsidRDefault="00CF1BA8" w:rsidP="00CF1BA8">
      <w:pPr>
        <w:spacing w:line="200" w:lineRule="exact"/>
        <w:ind w:firstLineChars="200" w:firstLine="340"/>
        <w:rPr>
          <w:spacing w:val="10"/>
          <w:sz w:val="15"/>
          <w:szCs w:val="15"/>
        </w:rPr>
      </w:pPr>
      <w:r>
        <w:rPr>
          <w:rFonts w:hint="eastAsia"/>
          <w:spacing w:val="10"/>
          <w:sz w:val="15"/>
          <w:szCs w:val="15"/>
        </w:rPr>
        <w:t>以对应期次的《理财产品说明书》约定的税务处理方式为准，如遇国家政策调整则相应执行最新政策。</w:t>
      </w:r>
    </w:p>
    <w:p w:rsidR="00CF1BA8" w:rsidRDefault="00CF1BA8" w:rsidP="00CF1BA8">
      <w:pPr>
        <w:spacing w:line="200" w:lineRule="exact"/>
        <w:ind w:firstLineChars="200" w:firstLine="341"/>
        <w:rPr>
          <w:spacing w:val="10"/>
          <w:sz w:val="15"/>
          <w:szCs w:val="15"/>
        </w:rPr>
      </w:pPr>
      <w:r>
        <w:rPr>
          <w:b/>
          <w:bCs/>
          <w:spacing w:val="10"/>
          <w:sz w:val="15"/>
          <w:szCs w:val="15"/>
        </w:rPr>
        <w:t>9.</w:t>
      </w:r>
      <w:r>
        <w:rPr>
          <w:rFonts w:hint="eastAsia"/>
          <w:b/>
          <w:bCs/>
          <w:spacing w:val="10"/>
          <w:sz w:val="15"/>
          <w:szCs w:val="15"/>
        </w:rPr>
        <w:t>争议处理</w:t>
      </w:r>
    </w:p>
    <w:p w:rsidR="00CF1BA8" w:rsidRDefault="00CF1BA8" w:rsidP="00CF1BA8">
      <w:pPr>
        <w:spacing w:line="200" w:lineRule="exact"/>
        <w:ind w:firstLineChars="200" w:firstLine="340"/>
        <w:rPr>
          <w:spacing w:val="10"/>
          <w:sz w:val="15"/>
          <w:szCs w:val="15"/>
        </w:rPr>
      </w:pPr>
      <w:r>
        <w:rPr>
          <w:rFonts w:hint="eastAsia"/>
          <w:spacing w:val="10"/>
          <w:sz w:val="15"/>
          <w:szCs w:val="15"/>
        </w:rPr>
        <w:t>本协议在履行过程中发生争议，可以通过协商解决；协商不成的，任何一方有权向甲方所在地有管辖权的人民法院提起诉讼。</w:t>
      </w:r>
    </w:p>
    <w:p w:rsidR="00CF1BA8" w:rsidRDefault="00CF1BA8" w:rsidP="00CF1BA8">
      <w:pPr>
        <w:spacing w:line="200" w:lineRule="exact"/>
        <w:ind w:firstLineChars="200" w:firstLine="341"/>
        <w:rPr>
          <w:b/>
          <w:bCs/>
          <w:spacing w:val="10"/>
          <w:sz w:val="15"/>
          <w:szCs w:val="15"/>
        </w:rPr>
      </w:pPr>
      <w:r>
        <w:rPr>
          <w:b/>
          <w:bCs/>
          <w:spacing w:val="10"/>
          <w:sz w:val="15"/>
          <w:szCs w:val="15"/>
        </w:rPr>
        <w:t>10.</w:t>
      </w:r>
      <w:r>
        <w:rPr>
          <w:rFonts w:hint="eastAsia"/>
          <w:b/>
          <w:bCs/>
          <w:spacing w:val="10"/>
          <w:sz w:val="15"/>
          <w:szCs w:val="15"/>
        </w:rPr>
        <w:t>协议的生效和终止</w:t>
      </w:r>
    </w:p>
    <w:p w:rsidR="00CF1BA8" w:rsidRDefault="00CF1BA8" w:rsidP="00CF1BA8">
      <w:pPr>
        <w:numPr>
          <w:ilvl w:val="0"/>
          <w:numId w:val="26"/>
        </w:numPr>
        <w:spacing w:line="200" w:lineRule="exact"/>
        <w:rPr>
          <w:spacing w:val="10"/>
          <w:sz w:val="15"/>
          <w:szCs w:val="15"/>
        </w:rPr>
      </w:pPr>
      <w:r>
        <w:rPr>
          <w:rFonts w:hint="eastAsia"/>
          <w:spacing w:val="10"/>
          <w:sz w:val="15"/>
          <w:szCs w:val="15"/>
        </w:rPr>
        <w:t>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CF1BA8" w:rsidRDefault="00CF1BA8" w:rsidP="00CF1BA8">
      <w:pPr>
        <w:spacing w:line="200" w:lineRule="exact"/>
        <w:ind w:firstLineChars="200" w:firstLine="340"/>
        <w:rPr>
          <w:spacing w:val="10"/>
          <w:sz w:val="15"/>
          <w:szCs w:val="15"/>
        </w:rPr>
      </w:pPr>
      <w:r>
        <w:rPr>
          <w:rFonts w:hint="eastAsia"/>
          <w:spacing w:val="10"/>
          <w:sz w:val="15"/>
          <w:szCs w:val="15"/>
        </w:rPr>
        <w:t>本协议书以数据电文形式订立的，乙方应在电子渠道仔细阅读本协议的所有条款，对本协议条款的含义及相应的法律后果应全部知晓并充分理解，同意接受本协议约束。本协议自乙方成功缴纳购买资金并经甲方系统确认购买份额后成立并生效。</w:t>
      </w:r>
      <w:r>
        <w:rPr>
          <w:rFonts w:hint="eastAsia"/>
          <w:b/>
          <w:bCs/>
          <w:spacing w:val="10"/>
          <w:sz w:val="15"/>
          <w:szCs w:val="15"/>
        </w:rPr>
        <w:t>电子渠道所生成和保留记载的相关电子数据及交易记录以及销售机构、托管机构、甲方制作或保留的相关电子及纸质单据、凭证、记录等相关资料</w:t>
      </w:r>
      <w:r>
        <w:rPr>
          <w:b/>
          <w:bCs/>
          <w:spacing w:val="10"/>
          <w:sz w:val="15"/>
          <w:szCs w:val="15"/>
        </w:rPr>
        <w:t>,</w:t>
      </w:r>
      <w:r>
        <w:rPr>
          <w:rFonts w:hint="eastAsia"/>
          <w:b/>
          <w:bCs/>
          <w:spacing w:val="10"/>
          <w:sz w:val="15"/>
          <w:szCs w:val="15"/>
        </w:rPr>
        <w:t>构成有效证明甲乙双方之间权利义务关系的确定证据，乙方无条件认可电子数据的有效性和证据效力。</w:t>
      </w:r>
    </w:p>
    <w:p w:rsidR="00CF1BA8" w:rsidRDefault="00CF1BA8" w:rsidP="00CF1BA8">
      <w:pPr>
        <w:numPr>
          <w:ilvl w:val="0"/>
          <w:numId w:val="26"/>
        </w:numPr>
        <w:spacing w:line="200" w:lineRule="exact"/>
        <w:ind w:firstLineChars="200" w:firstLine="340"/>
        <w:rPr>
          <w:spacing w:val="10"/>
          <w:sz w:val="15"/>
          <w:szCs w:val="15"/>
        </w:rPr>
      </w:pPr>
      <w:r>
        <w:rPr>
          <w:rFonts w:hint="eastAsia"/>
          <w:spacing w:val="10"/>
          <w:sz w:val="15"/>
          <w:szCs w:val="15"/>
        </w:rPr>
        <w:t>乙方在办理理财产品的购买、赎回等交易后，需通过销售机构提供的渠道查询相关交易的确认情况，最终以甲方确认的产品购买金额、份额或赎回份额等作为《理财产品销售协议书》生效或终止的依据。</w:t>
      </w:r>
    </w:p>
    <w:p w:rsidR="00CF1BA8" w:rsidRDefault="00CF1BA8" w:rsidP="00CF1BA8">
      <w:pPr>
        <w:numPr>
          <w:ilvl w:val="0"/>
          <w:numId w:val="26"/>
        </w:numPr>
        <w:spacing w:line="200" w:lineRule="exact"/>
        <w:ind w:firstLineChars="200" w:firstLine="340"/>
        <w:rPr>
          <w:spacing w:val="10"/>
          <w:sz w:val="15"/>
          <w:szCs w:val="15"/>
        </w:rPr>
      </w:pPr>
      <w:r>
        <w:rPr>
          <w:rFonts w:hint="eastAsia"/>
          <w:spacing w:val="10"/>
          <w:sz w:val="15"/>
          <w:szCs w:val="15"/>
        </w:rPr>
        <w:t>如乙方购买理财产品后，又变更该笔认</w:t>
      </w:r>
      <w:r>
        <w:rPr>
          <w:spacing w:val="10"/>
          <w:sz w:val="15"/>
          <w:szCs w:val="15"/>
        </w:rPr>
        <w:t>/</w:t>
      </w:r>
      <w:r>
        <w:rPr>
          <w:rFonts w:hint="eastAsia"/>
          <w:spacing w:val="10"/>
          <w:sz w:val="15"/>
          <w:szCs w:val="15"/>
        </w:rPr>
        <w:t>申购的具体内容（包括但不限于交易变更、金额变更、授权指定账户变更、投资者信息变更等），则以双方最近一次交易达成的交易内容为准。</w:t>
      </w:r>
    </w:p>
    <w:p w:rsidR="00CF1BA8" w:rsidRDefault="00CF1BA8" w:rsidP="00CF1BA8">
      <w:pPr>
        <w:spacing w:line="200" w:lineRule="exact"/>
        <w:ind w:firstLineChars="200" w:firstLine="341"/>
        <w:rPr>
          <w:b/>
          <w:bCs/>
          <w:spacing w:val="10"/>
          <w:sz w:val="15"/>
          <w:szCs w:val="15"/>
        </w:rPr>
      </w:pPr>
      <w:r>
        <w:rPr>
          <w:b/>
          <w:bCs/>
          <w:spacing w:val="10"/>
          <w:sz w:val="15"/>
          <w:szCs w:val="15"/>
        </w:rPr>
        <w:t>11.</w:t>
      </w:r>
      <w:r>
        <w:rPr>
          <w:rFonts w:hint="eastAsia"/>
          <w:b/>
          <w:bCs/>
          <w:spacing w:val="10"/>
          <w:sz w:val="15"/>
          <w:szCs w:val="15"/>
        </w:rPr>
        <w:t>乙方声明</w:t>
      </w:r>
    </w:p>
    <w:p w:rsidR="00CF1BA8" w:rsidRDefault="00CF1BA8" w:rsidP="00CF1BA8">
      <w:pPr>
        <w:spacing w:line="200" w:lineRule="exact"/>
        <w:ind w:firstLineChars="200" w:firstLine="341"/>
        <w:rPr>
          <w:b/>
          <w:spacing w:val="10"/>
          <w:sz w:val="15"/>
          <w:szCs w:val="15"/>
        </w:rPr>
      </w:pPr>
      <w:r>
        <w:rPr>
          <w:rFonts w:hint="eastAsia"/>
          <w:b/>
          <w:spacing w:val="10"/>
          <w:sz w:val="15"/>
          <w:szCs w:val="15"/>
        </w:rPr>
        <w:t>在签署本理财产品协议书以前，甲方或销售机构已根据本理财产品协议书及有关交易文件的条款就乙方提出的疑问向乙方进行了详细的说明和解释，乙方已认真阅读本理财产品协议条款及对应期次的《理财产品说明书》和《理财产品风险揭示书》</w:t>
      </w:r>
      <w:r>
        <w:rPr>
          <w:rFonts w:hint="eastAsia"/>
          <w:b/>
          <w:bCs/>
          <w:spacing w:val="10"/>
          <w:sz w:val="15"/>
          <w:szCs w:val="15"/>
        </w:rPr>
        <w:t>《投资者权益须知》</w:t>
      </w:r>
      <w:r>
        <w:rPr>
          <w:rFonts w:hint="eastAsia"/>
          <w:b/>
          <w:spacing w:val="10"/>
          <w:sz w:val="15"/>
          <w:szCs w:val="15"/>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rsidR="00CF1BA8" w:rsidRDefault="00CF1BA8" w:rsidP="00CF1BA8">
      <w:pPr>
        <w:spacing w:line="200" w:lineRule="exact"/>
        <w:ind w:firstLineChars="200" w:firstLine="341"/>
        <w:rPr>
          <w:b/>
          <w:spacing w:val="10"/>
          <w:sz w:val="15"/>
          <w:szCs w:val="15"/>
        </w:rPr>
      </w:pPr>
      <w:r>
        <w:rPr>
          <w:rFonts w:hint="eastAsia"/>
          <w:b/>
          <w:spacing w:val="10"/>
          <w:sz w:val="15"/>
          <w:szCs w:val="15"/>
        </w:rPr>
        <w:t>乙方授权甲方、销售机构于募集期或开放期或投资冷静期（私募产品适用）结束后从乙方授权指定账户扣划相应的认购或申购资金。对此甲方、销售机构无需另行征得乙方同意或给予通知，无需在划款时以电话等方式与乙方进行最后确认。对于风险较高或投资者单笔购买金</w:t>
      </w:r>
      <w:r>
        <w:rPr>
          <w:rFonts w:hint="eastAsia"/>
          <w:b/>
          <w:spacing w:val="10"/>
          <w:sz w:val="15"/>
          <w:szCs w:val="15"/>
        </w:rPr>
        <w:lastRenderedPageBreak/>
        <w:t>额较大的理财产品，同样适用上述划款操作规则。</w:t>
      </w:r>
    </w:p>
    <w:p w:rsidR="00CF1BA8" w:rsidRDefault="00CF1BA8" w:rsidP="00CF1BA8">
      <w:pPr>
        <w:spacing w:line="200" w:lineRule="exact"/>
        <w:ind w:firstLineChars="200" w:firstLine="341"/>
        <w:rPr>
          <w:b/>
          <w:bCs/>
          <w:spacing w:val="10"/>
          <w:sz w:val="15"/>
          <w:szCs w:val="15"/>
        </w:rPr>
      </w:pPr>
      <w:r>
        <w:rPr>
          <w:b/>
          <w:bCs/>
          <w:spacing w:val="10"/>
          <w:sz w:val="15"/>
          <w:szCs w:val="15"/>
        </w:rPr>
        <w:t>12.</w:t>
      </w:r>
      <w:r>
        <w:rPr>
          <w:rFonts w:hint="eastAsia"/>
          <w:b/>
          <w:bCs/>
          <w:spacing w:val="10"/>
          <w:sz w:val="15"/>
          <w:szCs w:val="15"/>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p>
    <w:p w:rsidR="00CF1BA8" w:rsidRDefault="00CF1BA8" w:rsidP="00CF1BA8">
      <w:pPr>
        <w:spacing w:line="200" w:lineRule="exact"/>
        <w:ind w:firstLineChars="200" w:firstLine="340"/>
        <w:rPr>
          <w:spacing w:val="10"/>
          <w:sz w:val="15"/>
          <w:szCs w:val="15"/>
        </w:rPr>
      </w:pPr>
    </w:p>
    <w:p w:rsidR="00CF1BA8" w:rsidRDefault="00CF1BA8" w:rsidP="00CF1BA8">
      <w:pPr>
        <w:spacing w:line="200" w:lineRule="exact"/>
        <w:ind w:firstLineChars="200" w:firstLine="340"/>
        <w:rPr>
          <w:spacing w:val="10"/>
          <w:sz w:val="15"/>
          <w:szCs w:val="15"/>
        </w:rPr>
      </w:pPr>
    </w:p>
    <w:tbl>
      <w:tblPr>
        <w:tblW w:w="9525" w:type="dxa"/>
        <w:jc w:val="center"/>
        <w:tblLayout w:type="fixed"/>
        <w:tblLook w:val="04A0" w:firstRow="1" w:lastRow="0" w:firstColumn="1" w:lastColumn="0" w:noHBand="0" w:noVBand="1"/>
      </w:tblPr>
      <w:tblGrid>
        <w:gridCol w:w="4812"/>
        <w:gridCol w:w="4713"/>
      </w:tblGrid>
      <w:tr w:rsidR="00CF1BA8" w:rsidTr="00CF1BA8">
        <w:trPr>
          <w:jc w:val="center"/>
        </w:trPr>
        <w:tc>
          <w:tcPr>
            <w:tcW w:w="4812" w:type="dxa"/>
            <w:hideMark/>
          </w:tcPr>
          <w:p w:rsidR="00CF1BA8" w:rsidRDefault="00CF1BA8">
            <w:pPr>
              <w:spacing w:line="200" w:lineRule="exact"/>
              <w:rPr>
                <w:spacing w:val="10"/>
                <w:sz w:val="15"/>
                <w:szCs w:val="15"/>
              </w:rPr>
            </w:pPr>
            <w:r>
              <w:rPr>
                <w:rFonts w:hint="eastAsia"/>
                <w:spacing w:val="10"/>
                <w:sz w:val="15"/>
                <w:szCs w:val="15"/>
              </w:rPr>
              <w:t>个人投资者（如适用）：</w:t>
            </w:r>
          </w:p>
        </w:tc>
        <w:tc>
          <w:tcPr>
            <w:tcW w:w="4713" w:type="dxa"/>
            <w:hideMark/>
          </w:tcPr>
          <w:p w:rsidR="00CF1BA8" w:rsidRDefault="00CF1BA8">
            <w:pPr>
              <w:spacing w:line="200" w:lineRule="exact"/>
              <w:rPr>
                <w:spacing w:val="10"/>
                <w:sz w:val="15"/>
                <w:szCs w:val="15"/>
              </w:rPr>
            </w:pPr>
            <w:r>
              <w:rPr>
                <w:rFonts w:hint="eastAsia"/>
                <w:spacing w:val="10"/>
                <w:sz w:val="15"/>
                <w:szCs w:val="15"/>
              </w:rPr>
              <w:t>机构投资者（如适用）：</w:t>
            </w:r>
          </w:p>
        </w:tc>
      </w:tr>
      <w:tr w:rsidR="00CF1BA8" w:rsidTr="00CF1BA8">
        <w:trPr>
          <w:jc w:val="center"/>
        </w:trPr>
        <w:tc>
          <w:tcPr>
            <w:tcW w:w="4812" w:type="dxa"/>
          </w:tcPr>
          <w:p w:rsidR="00CF1BA8" w:rsidRDefault="00CF1BA8">
            <w:pPr>
              <w:spacing w:line="200" w:lineRule="exact"/>
              <w:ind w:firstLineChars="200" w:firstLine="340"/>
              <w:rPr>
                <w:spacing w:val="10"/>
                <w:sz w:val="15"/>
                <w:szCs w:val="15"/>
              </w:rPr>
            </w:pPr>
          </w:p>
          <w:p w:rsidR="00CF1BA8" w:rsidRDefault="00CF1BA8">
            <w:pPr>
              <w:spacing w:line="200" w:lineRule="exact"/>
              <w:rPr>
                <w:spacing w:val="10"/>
                <w:sz w:val="15"/>
                <w:szCs w:val="15"/>
              </w:rPr>
            </w:pPr>
            <w:r>
              <w:rPr>
                <w:rFonts w:hint="eastAsia"/>
                <w:spacing w:val="10"/>
                <w:sz w:val="15"/>
                <w:szCs w:val="15"/>
              </w:rPr>
              <w:t>投资者：（签名）</w:t>
            </w:r>
          </w:p>
          <w:p w:rsidR="00CF1BA8" w:rsidRDefault="00CF1BA8">
            <w:pPr>
              <w:spacing w:line="200" w:lineRule="exact"/>
              <w:ind w:firstLineChars="400" w:firstLine="680"/>
              <w:rPr>
                <w:spacing w:val="10"/>
                <w:sz w:val="15"/>
                <w:szCs w:val="15"/>
              </w:rPr>
            </w:pPr>
          </w:p>
          <w:p w:rsidR="00CF1BA8" w:rsidRDefault="00CF1BA8">
            <w:pPr>
              <w:spacing w:line="200" w:lineRule="exact"/>
              <w:ind w:firstLineChars="500" w:firstLine="850"/>
              <w:rPr>
                <w:spacing w:val="10"/>
                <w:sz w:val="15"/>
                <w:szCs w:val="15"/>
              </w:rPr>
            </w:pPr>
          </w:p>
          <w:p w:rsidR="00CF1BA8" w:rsidRDefault="00CF1BA8">
            <w:pPr>
              <w:spacing w:line="200" w:lineRule="exact"/>
              <w:ind w:firstLineChars="500" w:firstLine="850"/>
              <w:rPr>
                <w:spacing w:val="10"/>
                <w:sz w:val="15"/>
                <w:szCs w:val="15"/>
              </w:rPr>
            </w:pPr>
            <w:r>
              <w:rPr>
                <w:rFonts w:hint="eastAsia"/>
                <w:spacing w:val="10"/>
                <w:sz w:val="15"/>
                <w:szCs w:val="15"/>
              </w:rPr>
              <w:t>年月日</w:t>
            </w:r>
          </w:p>
        </w:tc>
        <w:tc>
          <w:tcPr>
            <w:tcW w:w="4713" w:type="dxa"/>
          </w:tcPr>
          <w:p w:rsidR="00CF1BA8" w:rsidRDefault="00CF1BA8">
            <w:pPr>
              <w:spacing w:line="200" w:lineRule="exact"/>
              <w:ind w:firstLineChars="200" w:firstLine="340"/>
              <w:rPr>
                <w:spacing w:val="10"/>
                <w:sz w:val="15"/>
                <w:szCs w:val="15"/>
              </w:rPr>
            </w:pPr>
          </w:p>
          <w:p w:rsidR="00CF1BA8" w:rsidRDefault="00CF1BA8">
            <w:pPr>
              <w:spacing w:line="200" w:lineRule="exact"/>
              <w:rPr>
                <w:spacing w:val="10"/>
                <w:sz w:val="15"/>
                <w:szCs w:val="15"/>
              </w:rPr>
            </w:pPr>
            <w:r>
              <w:rPr>
                <w:rFonts w:hint="eastAsia"/>
                <w:spacing w:val="10"/>
                <w:sz w:val="15"/>
                <w:szCs w:val="15"/>
              </w:rPr>
              <w:t>投资者：（公章或合同专用章）</w:t>
            </w:r>
          </w:p>
          <w:p w:rsidR="00CF1BA8" w:rsidRDefault="00CF1BA8">
            <w:pPr>
              <w:spacing w:line="200" w:lineRule="exact"/>
              <w:rPr>
                <w:spacing w:val="10"/>
                <w:sz w:val="15"/>
                <w:szCs w:val="15"/>
              </w:rPr>
            </w:pPr>
          </w:p>
          <w:p w:rsidR="00CF1BA8" w:rsidRDefault="00CF1BA8">
            <w:pPr>
              <w:spacing w:line="200" w:lineRule="exact"/>
              <w:rPr>
                <w:spacing w:val="10"/>
                <w:sz w:val="15"/>
                <w:szCs w:val="15"/>
              </w:rPr>
            </w:pPr>
          </w:p>
          <w:p w:rsidR="00CF1BA8" w:rsidRDefault="00CF1BA8">
            <w:pPr>
              <w:spacing w:line="200" w:lineRule="exact"/>
              <w:rPr>
                <w:spacing w:val="10"/>
                <w:sz w:val="15"/>
                <w:szCs w:val="15"/>
              </w:rPr>
            </w:pPr>
            <w:r>
              <w:rPr>
                <w:rFonts w:hint="eastAsia"/>
                <w:spacing w:val="10"/>
                <w:sz w:val="15"/>
                <w:szCs w:val="15"/>
              </w:rPr>
              <w:t>法定代表人或授权代理人：（签名或盖章）</w:t>
            </w:r>
          </w:p>
          <w:p w:rsidR="00CF1BA8" w:rsidRDefault="00CF1BA8">
            <w:pPr>
              <w:spacing w:line="200" w:lineRule="exact"/>
              <w:ind w:firstLineChars="400" w:firstLine="680"/>
              <w:rPr>
                <w:spacing w:val="10"/>
                <w:sz w:val="15"/>
                <w:szCs w:val="15"/>
              </w:rPr>
            </w:pPr>
          </w:p>
          <w:p w:rsidR="00CF1BA8" w:rsidRDefault="00CF1BA8">
            <w:pPr>
              <w:spacing w:line="200" w:lineRule="exact"/>
              <w:ind w:firstLineChars="400" w:firstLine="680"/>
              <w:rPr>
                <w:spacing w:val="10"/>
                <w:sz w:val="15"/>
                <w:szCs w:val="15"/>
              </w:rPr>
            </w:pPr>
            <w:r>
              <w:rPr>
                <w:rFonts w:hint="eastAsia"/>
                <w:spacing w:val="10"/>
                <w:sz w:val="15"/>
                <w:szCs w:val="15"/>
              </w:rPr>
              <w:t>年月日</w:t>
            </w:r>
          </w:p>
        </w:tc>
      </w:tr>
    </w:tbl>
    <w:p w:rsidR="00CF1BA8" w:rsidRDefault="00CF1BA8" w:rsidP="00CF1BA8">
      <w:pPr>
        <w:spacing w:line="200" w:lineRule="exact"/>
        <w:rPr>
          <w:spacing w:val="10"/>
          <w:sz w:val="15"/>
          <w:szCs w:val="15"/>
        </w:rPr>
      </w:pPr>
    </w:p>
    <w:p w:rsidR="00CF1BA8" w:rsidRDefault="00CF1BA8" w:rsidP="00CF1BA8">
      <w:pPr>
        <w:widowControl/>
        <w:spacing w:line="360" w:lineRule="auto"/>
        <w:jc w:val="left"/>
        <w:rPr>
          <w:kern w:val="0"/>
        </w:rPr>
        <w:sectPr w:rsidR="00CF1BA8">
          <w:pgSz w:w="11906" w:h="16838"/>
          <w:pgMar w:top="720" w:right="720" w:bottom="720" w:left="720" w:header="851" w:footer="992" w:gutter="0"/>
          <w:cols w:space="720"/>
          <w:docGrid w:type="lines" w:linePitch="312"/>
        </w:sectPr>
      </w:pPr>
    </w:p>
    <w:p w:rsidR="00CF1BA8" w:rsidRDefault="00CF1BA8" w:rsidP="00CF1BA8">
      <w:pPr>
        <w:pStyle w:val="13"/>
        <w:spacing w:line="360" w:lineRule="auto"/>
        <w:ind w:firstLineChars="0" w:firstLine="0"/>
        <w:jc w:val="center"/>
        <w:rPr>
          <w:rFonts w:ascii="宋体" w:hAnsi="宋体" w:cs="宋体"/>
          <w:b/>
          <w:sz w:val="22"/>
          <w:szCs w:val="22"/>
        </w:rPr>
      </w:pPr>
      <w:r>
        <w:rPr>
          <w:rFonts w:ascii="黑体" w:eastAsia="黑体" w:hAnsi="黑体" w:cs="黑体" w:hint="eastAsia"/>
          <w:b/>
          <w:kern w:val="0"/>
          <w:sz w:val="24"/>
          <w:szCs w:val="24"/>
        </w:rPr>
        <w:lastRenderedPageBreak/>
        <w:t>理财产品投资协议书</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经南银理财有限责任公司（下称“甲方”或“理财产品管理人”）与投资者（下称“乙方”）协商一致，就乙方购买的对应期次理财产品投资事宜，达成如下协议：</w:t>
      </w:r>
    </w:p>
    <w:p w:rsidR="00CF1BA8" w:rsidRDefault="00CF1BA8" w:rsidP="00CF1BA8">
      <w:pPr>
        <w:pStyle w:val="13"/>
        <w:spacing w:line="360" w:lineRule="auto"/>
        <w:ind w:firstLineChars="0" w:firstLine="442"/>
        <w:rPr>
          <w:rFonts w:ascii="宋体" w:hAnsi="宋体" w:cs="宋体"/>
          <w:b/>
          <w:bCs/>
          <w:sz w:val="20"/>
          <w:szCs w:val="21"/>
        </w:rPr>
      </w:pPr>
      <w:r>
        <w:rPr>
          <w:rFonts w:ascii="宋体" w:hAnsi="宋体" w:cs="宋体" w:hint="eastAsia"/>
          <w:b/>
          <w:bCs/>
          <w:sz w:val="20"/>
          <w:szCs w:val="21"/>
        </w:rPr>
        <w:t>一、重要提示</w:t>
      </w:r>
    </w:p>
    <w:p w:rsidR="00CF1BA8" w:rsidRDefault="00CF1BA8" w:rsidP="00CF1BA8">
      <w:pPr>
        <w:pStyle w:val="13"/>
        <w:spacing w:line="360" w:lineRule="auto"/>
        <w:ind w:firstLineChars="0" w:firstLine="440"/>
        <w:rPr>
          <w:rFonts w:ascii="宋体" w:hAnsi="宋体" w:cs="宋体"/>
          <w:sz w:val="20"/>
          <w:szCs w:val="21"/>
        </w:rPr>
      </w:pPr>
      <w:r>
        <w:rPr>
          <w:rFonts w:ascii="宋体" w:hAnsi="宋体" w:cs="宋体" w:hint="eastAsia"/>
          <w:b/>
          <w:sz w:val="20"/>
          <w:szCs w:val="21"/>
        </w:rPr>
        <w:t>理财非存款、产品有风险、投资须谨慎。</w:t>
      </w:r>
      <w:r>
        <w:rPr>
          <w:rFonts w:ascii="宋体" w:hAnsi="宋体" w:cs="宋体" w:hint="eastAsia"/>
          <w:sz w:val="20"/>
          <w:szCs w:val="21"/>
        </w:rPr>
        <w:t>理财产品面临的风险详见对应期次《理财产品风险揭示书》和《理财产品说明书》的详细条款，乙方应仔细阅读并充分理解对应期次理财产品可能发生的风险。</w:t>
      </w:r>
    </w:p>
    <w:p w:rsidR="00CF1BA8" w:rsidRDefault="00CF1BA8" w:rsidP="00CF1BA8">
      <w:pPr>
        <w:pStyle w:val="13"/>
        <w:spacing w:line="360" w:lineRule="auto"/>
        <w:ind w:firstLineChars="0" w:firstLine="442"/>
        <w:rPr>
          <w:rFonts w:ascii="宋体" w:hAnsi="宋体" w:cs="宋体"/>
          <w:sz w:val="20"/>
          <w:szCs w:val="21"/>
        </w:rPr>
      </w:pPr>
      <w:r>
        <w:rPr>
          <w:rFonts w:ascii="宋体" w:hAnsi="宋体" w:cs="宋体" w:hint="eastAsia"/>
          <w:b/>
          <w:bCs/>
          <w:sz w:val="20"/>
          <w:szCs w:val="21"/>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rsidR="00CF1BA8" w:rsidRDefault="00CF1BA8" w:rsidP="00CF1BA8">
      <w:pPr>
        <w:pStyle w:val="13"/>
        <w:spacing w:line="360" w:lineRule="auto"/>
        <w:ind w:firstLine="402"/>
        <w:rPr>
          <w:rFonts w:ascii="宋体" w:hAnsi="宋体" w:cs="宋体"/>
          <w:b/>
          <w:sz w:val="20"/>
          <w:szCs w:val="21"/>
        </w:rPr>
      </w:pPr>
      <w:r>
        <w:rPr>
          <w:rFonts w:ascii="宋体" w:hAnsi="宋体" w:cs="宋体" w:hint="eastAsia"/>
          <w:b/>
          <w:sz w:val="20"/>
          <w:szCs w:val="21"/>
        </w:rPr>
        <w:t>二、双方权利与义务</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（一）甲方的权利与义务</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1.甲方应当履行恪尽职守、勤勉尽责、诚实守信、有效管理的义务。</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2.按照法律法规及对应期次《理财产品说明书》约定的投资范围和权限内，甲方拥有管理和运用理财资金的权利。</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3.甲方应当按照对应期次《理财产品说明书》的约定向乙方分配收益。</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4.甲方有权按照对应期次《理财产品说明书》的约定收取相应费用。</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5.由于投资管理或者获取投资标的的需要，甲方有权决定以理财产品财产支付产品运作和清算中产生的其他资金汇划费、结算费、交易手续费、注册登记费、信息披露费、账户服务费、审计费、律师费、投后管理费、项目推荐费、财务顾问费和《理财产品说明书》约定的其他应由理财产品承担的费用等，在实际发生时列支。</w:t>
      </w:r>
    </w:p>
    <w:p w:rsidR="00CF1BA8" w:rsidRDefault="00CF1BA8" w:rsidP="00CF1BA8">
      <w:pPr>
        <w:pStyle w:val="13"/>
        <w:spacing w:line="360" w:lineRule="auto"/>
        <w:ind w:firstLine="400"/>
        <w:rPr>
          <w:rFonts w:ascii="宋体" w:hAnsi="宋体" w:cs="宋体"/>
          <w:b/>
          <w:bCs/>
          <w:sz w:val="20"/>
          <w:szCs w:val="21"/>
        </w:rPr>
      </w:pPr>
      <w:r>
        <w:rPr>
          <w:rFonts w:ascii="宋体" w:hAnsi="宋体" w:cs="宋体" w:hint="eastAsia"/>
          <w:sz w:val="20"/>
          <w:szCs w:val="21"/>
        </w:rPr>
        <w:t>6.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仲裁、申请保全/执行等，由此产生的费用由理财产品承担，在实际发生时列支。</w:t>
      </w:r>
    </w:p>
    <w:p w:rsidR="00CF1BA8" w:rsidRDefault="00CF1BA8" w:rsidP="00CF1BA8">
      <w:pPr>
        <w:pStyle w:val="13"/>
        <w:spacing w:line="360" w:lineRule="auto"/>
        <w:ind w:firstLineChars="0" w:firstLine="440"/>
        <w:rPr>
          <w:rFonts w:ascii="宋体" w:hAnsi="宋体" w:cs="宋体"/>
          <w:sz w:val="20"/>
          <w:szCs w:val="21"/>
        </w:rPr>
      </w:pPr>
      <w:r>
        <w:rPr>
          <w:rFonts w:ascii="宋体" w:hAnsi="宋体" w:cs="宋体" w:hint="eastAsia"/>
          <w:sz w:val="20"/>
          <w:szCs w:val="21"/>
        </w:rPr>
        <w:t>7.甲方有权根据产品运作的需要选任必要的业务合作机构，并确定合作模式等相关内容。</w:t>
      </w:r>
    </w:p>
    <w:p w:rsidR="00CF1BA8" w:rsidRDefault="00CF1BA8" w:rsidP="00CF1BA8">
      <w:pPr>
        <w:pStyle w:val="13"/>
        <w:spacing w:line="360" w:lineRule="auto"/>
        <w:ind w:firstLineChars="0" w:firstLine="440"/>
        <w:rPr>
          <w:rFonts w:ascii="宋体" w:hAnsi="宋体" w:cs="宋体"/>
          <w:b/>
          <w:bCs/>
          <w:sz w:val="20"/>
          <w:szCs w:val="21"/>
        </w:rPr>
      </w:pPr>
      <w:r>
        <w:rPr>
          <w:rFonts w:ascii="宋体" w:hAnsi="宋体" w:cs="宋体" w:hint="eastAsia"/>
          <w:sz w:val="20"/>
          <w:szCs w:val="21"/>
        </w:rPr>
        <w:t>8.</w:t>
      </w:r>
      <w:r>
        <w:rPr>
          <w:rFonts w:ascii="宋体" w:hAnsi="宋体" w:cs="宋体" w:hint="eastAsia"/>
          <w:b/>
          <w:bCs/>
          <w:sz w:val="20"/>
          <w:szCs w:val="21"/>
        </w:rPr>
        <w:t>在本理财产品存续期内：</w:t>
      </w:r>
    </w:p>
    <w:p w:rsidR="00CF1BA8" w:rsidRDefault="00CF1BA8" w:rsidP="00CF1BA8">
      <w:pPr>
        <w:pStyle w:val="13"/>
        <w:spacing w:line="360" w:lineRule="auto"/>
        <w:ind w:firstLineChars="0" w:firstLine="440"/>
        <w:rPr>
          <w:rFonts w:ascii="宋体" w:hAnsi="宋体" w:cs="宋体"/>
          <w:b/>
          <w:bCs/>
          <w:sz w:val="20"/>
          <w:szCs w:val="21"/>
        </w:rPr>
      </w:pPr>
      <w:r>
        <w:rPr>
          <w:rFonts w:ascii="宋体" w:hAnsi="宋体" w:cs="宋体" w:hint="eastAsia"/>
          <w:b/>
          <w:bCs/>
          <w:sz w:val="20"/>
          <w:szCs w:val="21"/>
        </w:rPr>
        <w:t>（1）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CF1BA8" w:rsidRDefault="00CF1BA8" w:rsidP="00CF1BA8">
      <w:pPr>
        <w:pStyle w:val="13"/>
        <w:spacing w:line="360" w:lineRule="auto"/>
        <w:ind w:firstLineChars="0" w:firstLine="440"/>
        <w:rPr>
          <w:rFonts w:ascii="宋体" w:hAnsi="宋体" w:cs="宋体"/>
          <w:b/>
          <w:bCs/>
          <w:sz w:val="20"/>
          <w:szCs w:val="21"/>
        </w:rPr>
      </w:pPr>
      <w:r>
        <w:rPr>
          <w:rFonts w:ascii="宋体" w:hAnsi="宋体" w:cs="宋体" w:hint="eastAsia"/>
          <w:b/>
          <w:bCs/>
          <w:sz w:val="20"/>
          <w:szCs w:val="21"/>
        </w:rPr>
        <w:t>（2）若因市场情况等发生变化或是出于维护本理财产品正常运营或管理的需要，或基于甲方合理认定的其他情形，甲方有权单方面对本理财产品的销售文件进行修订，包括但不限于对本理财产品的投资范围、投资资产种类、投资比例或已约定的收费项目、条件、标准和方式等进行调整，并进行信息披露。此种情况下管理人可能开放赎回，具体以管理</w:t>
      </w:r>
      <w:r>
        <w:rPr>
          <w:rFonts w:ascii="宋体" w:hAnsi="宋体" w:cs="宋体" w:hint="eastAsia"/>
          <w:b/>
          <w:bCs/>
          <w:sz w:val="20"/>
          <w:szCs w:val="21"/>
        </w:rPr>
        <w:lastRenderedPageBreak/>
        <w:t>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CF1BA8" w:rsidRDefault="00CF1BA8" w:rsidP="00CF1BA8">
      <w:pPr>
        <w:pStyle w:val="13"/>
        <w:spacing w:line="360" w:lineRule="auto"/>
        <w:ind w:firstLineChars="0" w:firstLine="440"/>
        <w:rPr>
          <w:rFonts w:ascii="宋体" w:hAnsi="宋体" w:cs="宋体"/>
          <w:b/>
          <w:bCs/>
          <w:sz w:val="20"/>
          <w:szCs w:val="21"/>
        </w:rPr>
      </w:pPr>
      <w:r>
        <w:rPr>
          <w:rFonts w:ascii="宋体" w:hAnsi="宋体" w:cs="宋体" w:hint="eastAsia"/>
          <w:b/>
          <w:bCs/>
          <w:sz w:val="20"/>
          <w:szCs w:val="21"/>
        </w:rPr>
        <w:t>9.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rsidR="00CF1BA8" w:rsidRDefault="00CF1BA8" w:rsidP="00CF1BA8">
      <w:pPr>
        <w:pStyle w:val="13"/>
        <w:spacing w:line="360" w:lineRule="auto"/>
        <w:ind w:firstLineChars="0" w:firstLine="440"/>
        <w:rPr>
          <w:rFonts w:ascii="宋体" w:hAnsi="宋体" w:cs="宋体"/>
          <w:sz w:val="20"/>
          <w:szCs w:val="21"/>
        </w:rPr>
      </w:pPr>
      <w:r>
        <w:rPr>
          <w:rFonts w:ascii="宋体" w:hAnsi="宋体" w:cs="宋体" w:hint="eastAsia"/>
          <w:sz w:val="20"/>
          <w:szCs w:val="21"/>
        </w:rPr>
        <w:t>10.法律法规规定或理财产品销售文件约定的其它权利及义务。</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（二）乙方的权利与义务</w:t>
      </w:r>
    </w:p>
    <w:p w:rsidR="00CF1BA8" w:rsidRDefault="00CF1BA8" w:rsidP="00CF1BA8">
      <w:pPr>
        <w:pStyle w:val="13"/>
        <w:spacing w:line="360" w:lineRule="auto"/>
        <w:ind w:firstLineChars="0" w:firstLine="440"/>
        <w:rPr>
          <w:rFonts w:ascii="宋体" w:hAnsi="宋体" w:cs="宋体"/>
          <w:sz w:val="20"/>
          <w:szCs w:val="21"/>
        </w:rPr>
      </w:pPr>
      <w:r>
        <w:rPr>
          <w:rFonts w:ascii="宋体" w:hAnsi="宋体" w:cs="宋体" w:hint="eastAsia"/>
          <w:sz w:val="20"/>
          <w:szCs w:val="21"/>
        </w:rPr>
        <w:t>1.乙方保证具有完全民事行为能力，有完全适当的资格与能力订立并履行本协议。</w:t>
      </w:r>
    </w:p>
    <w:p w:rsidR="00CF1BA8" w:rsidRDefault="00CF1BA8" w:rsidP="00CF1BA8">
      <w:pPr>
        <w:pStyle w:val="13"/>
        <w:spacing w:line="360" w:lineRule="auto"/>
        <w:ind w:firstLineChars="0" w:firstLine="440"/>
        <w:rPr>
          <w:rFonts w:ascii="宋体" w:hAnsi="宋体" w:cs="宋体"/>
          <w:sz w:val="20"/>
          <w:szCs w:val="21"/>
        </w:rPr>
      </w:pPr>
      <w:r>
        <w:rPr>
          <w:rFonts w:ascii="宋体" w:hAnsi="宋体" w:cs="宋体" w:hint="eastAsia"/>
          <w:sz w:val="20"/>
          <w:szCs w:val="21"/>
        </w:rPr>
        <w:t>2.乙方能够自行识别、判断和承担理财产品的相关风险；不存在法律法规、有权机关或主管机关禁止或限制购买理财产品的各种情形。乙方按其购买金额在对应期次理财协议中享有相应的权利，承担相应的义务和风险。</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3.乙方自愿购买甲方管理的理财产品，接受甲方提供的投资理财服务。甲方向乙方提供的市场分析和预测（如有）仅供参考，乙方据此做出的任何决策均出于乙方自身的判断，甲方不承担任何责任。</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4.乙方已仔细阅读《投资者权益须知》《理财产品说明书》并清楚知晓其内容，接受并签署《理财产品风险揭示书》《理财产品销售协议书》和本协议。</w:t>
      </w:r>
    </w:p>
    <w:p w:rsidR="00CF1BA8" w:rsidRDefault="00CF1BA8" w:rsidP="00CF1BA8">
      <w:pPr>
        <w:pStyle w:val="13"/>
        <w:spacing w:line="360" w:lineRule="auto"/>
        <w:ind w:firstLineChars="0" w:firstLine="440"/>
        <w:rPr>
          <w:rFonts w:ascii="宋体" w:hAnsi="宋体" w:cs="宋体"/>
          <w:sz w:val="20"/>
          <w:szCs w:val="21"/>
        </w:rPr>
      </w:pPr>
      <w:r>
        <w:rPr>
          <w:rFonts w:ascii="宋体" w:hAnsi="宋体" w:cs="宋体" w:hint="eastAsia"/>
          <w:sz w:val="20"/>
          <w:szCs w:val="21"/>
        </w:rPr>
        <w:t>5.乙方已充分知悉对应期次理财产品风险等级（该产品通过代理销售机构渠道销售的，理财产品评级应当以代理销售机构最终披露的评级结果为准），并确定以相应理财资金购买对应期次理财产品，乙方承诺由此产生的相关风险由其自身承担。</w:t>
      </w:r>
    </w:p>
    <w:p w:rsidR="00CF1BA8" w:rsidRDefault="00CF1BA8" w:rsidP="00CF1BA8">
      <w:pPr>
        <w:pStyle w:val="13"/>
        <w:spacing w:line="360" w:lineRule="auto"/>
        <w:ind w:firstLineChars="0" w:firstLine="442"/>
        <w:rPr>
          <w:rFonts w:ascii="宋体" w:hAnsi="宋体" w:cs="宋体"/>
          <w:b/>
          <w:bCs/>
          <w:sz w:val="20"/>
          <w:szCs w:val="21"/>
        </w:rPr>
      </w:pPr>
      <w:r>
        <w:rPr>
          <w:rFonts w:ascii="宋体" w:hAnsi="宋体" w:cs="宋体" w:hint="eastAsia"/>
          <w:b/>
          <w:bCs/>
          <w:sz w:val="20"/>
          <w:szCs w:val="21"/>
        </w:rPr>
        <w:t>6.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rsidR="00CF1BA8" w:rsidRDefault="00CF1BA8" w:rsidP="00CF1BA8">
      <w:pPr>
        <w:pStyle w:val="13"/>
        <w:spacing w:line="360" w:lineRule="auto"/>
        <w:ind w:firstLineChars="0" w:firstLine="442"/>
        <w:rPr>
          <w:rFonts w:ascii="宋体" w:hAnsi="宋体" w:cs="宋体"/>
          <w:b/>
          <w:bCs/>
          <w:sz w:val="20"/>
          <w:szCs w:val="21"/>
        </w:rPr>
      </w:pPr>
      <w:r>
        <w:rPr>
          <w:rFonts w:ascii="宋体" w:hAnsi="宋体" w:cs="宋体" w:hint="eastAsia"/>
          <w:b/>
          <w:bCs/>
          <w:sz w:val="20"/>
          <w:szCs w:val="21"/>
        </w:rPr>
        <w:t>7.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rsidR="00CF1BA8" w:rsidRDefault="00CF1BA8" w:rsidP="00CF1BA8">
      <w:pPr>
        <w:pStyle w:val="13"/>
        <w:spacing w:line="360" w:lineRule="auto"/>
        <w:ind w:firstLineChars="0" w:firstLine="440"/>
        <w:rPr>
          <w:rFonts w:ascii="宋体" w:hAnsi="宋体" w:cs="宋体"/>
          <w:b/>
          <w:bCs/>
          <w:sz w:val="20"/>
          <w:szCs w:val="21"/>
        </w:rPr>
      </w:pPr>
      <w:r>
        <w:rPr>
          <w:rFonts w:ascii="宋体" w:hAnsi="宋体" w:cs="宋体" w:hint="eastAsia"/>
          <w:b/>
          <w:bCs/>
          <w:sz w:val="20"/>
          <w:szCs w:val="21"/>
        </w:rPr>
        <w:t>8</w:t>
      </w:r>
      <w:r>
        <w:rPr>
          <w:rFonts w:ascii="宋体" w:hAnsi="宋体" w:cs="宋体" w:hint="eastAsia"/>
          <w:sz w:val="20"/>
          <w:szCs w:val="21"/>
        </w:rPr>
        <w:t>.</w:t>
      </w:r>
      <w:r>
        <w:rPr>
          <w:rFonts w:ascii="宋体" w:hAnsi="宋体" w:cs="宋体" w:hint="eastAsia"/>
          <w:b/>
          <w:bCs/>
          <w:sz w:val="20"/>
          <w:szCs w:val="21"/>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rsidR="00CF1BA8" w:rsidRDefault="00CF1BA8" w:rsidP="00CF1BA8">
      <w:pPr>
        <w:pStyle w:val="13"/>
        <w:spacing w:line="360" w:lineRule="auto"/>
        <w:ind w:firstLineChars="0" w:firstLine="442"/>
        <w:rPr>
          <w:rFonts w:ascii="宋体" w:hAnsi="宋体" w:cs="宋体"/>
          <w:b/>
          <w:bCs/>
          <w:sz w:val="20"/>
          <w:szCs w:val="21"/>
        </w:rPr>
      </w:pPr>
      <w:r>
        <w:rPr>
          <w:rFonts w:ascii="宋体" w:hAnsi="宋体" w:cs="宋体" w:hint="eastAsia"/>
          <w:b/>
          <w:bCs/>
          <w:sz w:val="20"/>
          <w:szCs w:val="21"/>
        </w:rPr>
        <w:t>9.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rsidR="00CF1BA8" w:rsidRDefault="00CF1BA8" w:rsidP="00CF1BA8">
      <w:pPr>
        <w:pStyle w:val="13"/>
        <w:spacing w:line="360" w:lineRule="auto"/>
        <w:ind w:firstLineChars="0" w:firstLine="442"/>
        <w:rPr>
          <w:rFonts w:ascii="宋体" w:hAnsi="宋体" w:cs="宋体"/>
          <w:b/>
          <w:bCs/>
          <w:sz w:val="20"/>
          <w:szCs w:val="21"/>
        </w:rPr>
      </w:pPr>
      <w:r>
        <w:rPr>
          <w:rFonts w:ascii="宋体" w:hAnsi="宋体" w:cs="宋体" w:hint="eastAsia"/>
          <w:b/>
          <w:bCs/>
          <w:sz w:val="20"/>
          <w:szCs w:val="21"/>
        </w:rPr>
        <w:lastRenderedPageBreak/>
        <w:t>10.乙方对因购买、持有本理财产品而知悉的甲方及销售机构保密信息承担保密义务，乙方承诺不以任何方式向任何第三方披露甲方或销售机构的保密信息，法律法规另有规定的除外。</w:t>
      </w:r>
    </w:p>
    <w:p w:rsidR="00CF1BA8" w:rsidRDefault="00CF1BA8" w:rsidP="00CF1BA8">
      <w:pPr>
        <w:pStyle w:val="13"/>
        <w:spacing w:line="360" w:lineRule="auto"/>
        <w:ind w:firstLineChars="0" w:firstLine="440"/>
        <w:rPr>
          <w:rFonts w:ascii="宋体" w:hAnsi="宋体" w:cs="宋体"/>
          <w:sz w:val="20"/>
          <w:szCs w:val="21"/>
        </w:rPr>
      </w:pPr>
      <w:r>
        <w:rPr>
          <w:rFonts w:ascii="宋体" w:hAnsi="宋体" w:cs="宋体" w:hint="eastAsia"/>
          <w:sz w:val="20"/>
          <w:szCs w:val="21"/>
        </w:rPr>
        <w:t>11.法律法规规定或理财产品销售文件约定的其它权利及义务。</w:t>
      </w:r>
    </w:p>
    <w:p w:rsidR="00CF1BA8" w:rsidRDefault="00CF1BA8" w:rsidP="00CF1BA8">
      <w:pPr>
        <w:pStyle w:val="13"/>
        <w:spacing w:line="360" w:lineRule="auto"/>
        <w:ind w:firstLine="402"/>
        <w:rPr>
          <w:rFonts w:ascii="宋体" w:hAnsi="宋体" w:cs="宋体"/>
          <w:b/>
          <w:sz w:val="20"/>
          <w:szCs w:val="21"/>
        </w:rPr>
      </w:pPr>
      <w:r>
        <w:rPr>
          <w:rFonts w:ascii="宋体" w:hAnsi="宋体" w:cs="宋体" w:hint="eastAsia"/>
          <w:b/>
          <w:sz w:val="20"/>
          <w:szCs w:val="21"/>
        </w:rPr>
        <w:t>三、协议的生效和终止</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（三）乙方购买理财产品失败、甲方提前终止对应期次理财产品以及对应期次理财产品到期并结清后，本协议自动终止。</w:t>
      </w:r>
    </w:p>
    <w:p w:rsidR="00CF1BA8" w:rsidRDefault="00CF1BA8" w:rsidP="00CF1BA8">
      <w:pPr>
        <w:pStyle w:val="13"/>
        <w:spacing w:line="360" w:lineRule="auto"/>
        <w:ind w:firstLine="402"/>
        <w:rPr>
          <w:rFonts w:ascii="宋体" w:hAnsi="宋体" w:cs="宋体"/>
          <w:b/>
          <w:bCs/>
          <w:sz w:val="20"/>
          <w:szCs w:val="21"/>
        </w:rPr>
      </w:pPr>
      <w:r>
        <w:rPr>
          <w:rFonts w:ascii="宋体" w:hAnsi="宋体" w:cs="宋体" w:hint="eastAsia"/>
          <w:b/>
          <w:bCs/>
          <w:sz w:val="20"/>
          <w:szCs w:val="21"/>
        </w:rPr>
        <w:t>四、不可抗力及其他免责条款</w:t>
      </w:r>
    </w:p>
    <w:p w:rsidR="00CF1BA8" w:rsidRDefault="00CF1BA8" w:rsidP="00CF1BA8">
      <w:pPr>
        <w:pStyle w:val="13"/>
        <w:spacing w:line="360" w:lineRule="auto"/>
        <w:ind w:firstLine="402"/>
        <w:rPr>
          <w:rFonts w:ascii="宋体" w:hAnsi="宋体" w:cs="宋体"/>
          <w:b/>
          <w:sz w:val="20"/>
          <w:szCs w:val="21"/>
        </w:rPr>
      </w:pPr>
      <w:r>
        <w:rPr>
          <w:rFonts w:ascii="宋体" w:hAnsi="宋体" w:cs="宋体" w:hint="eastAsia"/>
          <w:b/>
          <w:sz w:val="20"/>
          <w:szCs w:val="21"/>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rsidR="00CF1BA8" w:rsidRDefault="00CF1BA8" w:rsidP="00CF1BA8">
      <w:pPr>
        <w:pStyle w:val="13"/>
        <w:spacing w:line="360" w:lineRule="auto"/>
        <w:ind w:firstLine="402"/>
        <w:rPr>
          <w:rFonts w:ascii="宋体" w:hAnsi="宋体" w:cs="宋体"/>
          <w:b/>
          <w:sz w:val="20"/>
          <w:szCs w:val="21"/>
        </w:rPr>
      </w:pPr>
      <w:r>
        <w:rPr>
          <w:rFonts w:ascii="宋体" w:hAnsi="宋体" w:cs="宋体" w:hint="eastAsia"/>
          <w:b/>
          <w:sz w:val="20"/>
          <w:szCs w:val="21"/>
        </w:rPr>
        <w:t>非因甲方原因（包括但不限于理财产品投资者遗失理财产品销售文件、理财产品销售文件被盗用等原因）造成的损失，甲方不承担责任。</w:t>
      </w:r>
    </w:p>
    <w:p w:rsidR="00CF1BA8" w:rsidRDefault="00CF1BA8" w:rsidP="00CF1BA8">
      <w:pPr>
        <w:pStyle w:val="13"/>
        <w:spacing w:line="360" w:lineRule="auto"/>
        <w:ind w:firstLine="402"/>
        <w:rPr>
          <w:rFonts w:ascii="宋体" w:hAnsi="宋体" w:cs="宋体"/>
          <w:b/>
          <w:bCs/>
          <w:sz w:val="20"/>
          <w:szCs w:val="21"/>
        </w:rPr>
      </w:pPr>
      <w:r>
        <w:rPr>
          <w:rFonts w:ascii="宋体" w:hAnsi="宋体" w:cs="宋体" w:hint="eastAsia"/>
          <w:b/>
          <w:bCs/>
          <w:sz w:val="20"/>
          <w:szCs w:val="21"/>
        </w:rPr>
        <w:t>五、争议解决</w:t>
      </w:r>
    </w:p>
    <w:p w:rsidR="00CF1BA8" w:rsidRDefault="00CF1BA8" w:rsidP="00CF1BA8">
      <w:pPr>
        <w:pStyle w:val="13"/>
        <w:spacing w:line="360" w:lineRule="auto"/>
        <w:ind w:firstLine="402"/>
        <w:rPr>
          <w:rFonts w:ascii="宋体" w:hAnsi="宋体" w:cs="宋体"/>
          <w:b/>
          <w:sz w:val="20"/>
          <w:szCs w:val="21"/>
        </w:rPr>
      </w:pPr>
      <w:r>
        <w:rPr>
          <w:rFonts w:ascii="宋体" w:hAnsi="宋体" w:cs="宋体" w:hint="eastAsia"/>
          <w:b/>
          <w:sz w:val="20"/>
          <w:szCs w:val="21"/>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rsidR="00CF1BA8" w:rsidRDefault="00CF1BA8" w:rsidP="00CF1BA8">
      <w:pPr>
        <w:pStyle w:val="13"/>
        <w:spacing w:line="360" w:lineRule="auto"/>
        <w:ind w:firstLine="402"/>
        <w:rPr>
          <w:rFonts w:ascii="宋体" w:hAnsi="宋体" w:cs="宋体"/>
          <w:sz w:val="20"/>
          <w:szCs w:val="21"/>
        </w:rPr>
      </w:pPr>
      <w:r>
        <w:rPr>
          <w:rFonts w:ascii="宋体" w:hAnsi="宋体" w:cs="宋体" w:hint="eastAsia"/>
          <w:b/>
          <w:bCs/>
          <w:sz w:val="20"/>
          <w:szCs w:val="21"/>
        </w:rPr>
        <w:t>六、</w:t>
      </w:r>
      <w:r>
        <w:rPr>
          <w:rFonts w:ascii="宋体" w:hAnsi="宋体" w:cs="宋体" w:hint="eastAsia"/>
          <w:sz w:val="20"/>
          <w:szCs w:val="21"/>
        </w:rPr>
        <w:t>本协议未尽事宜，以《理财产品说明书》《理财产品风险揭示书》《理财产品销售协议书》及《投资者权益须知》等销售文件的内容为准。</w:t>
      </w:r>
    </w:p>
    <w:p w:rsidR="00CF1BA8" w:rsidRDefault="00CF1BA8" w:rsidP="00CF1BA8">
      <w:pPr>
        <w:pStyle w:val="13"/>
        <w:spacing w:line="360" w:lineRule="auto"/>
        <w:ind w:firstLine="400"/>
        <w:rPr>
          <w:rFonts w:ascii="宋体" w:hAnsi="宋体" w:cs="宋体"/>
          <w:sz w:val="20"/>
          <w:szCs w:val="21"/>
        </w:rPr>
      </w:pPr>
    </w:p>
    <w:p w:rsidR="00CF1BA8" w:rsidRDefault="00CF1BA8" w:rsidP="00CF1BA8">
      <w:pPr>
        <w:pStyle w:val="13"/>
        <w:spacing w:line="360" w:lineRule="auto"/>
        <w:ind w:firstLine="402"/>
        <w:rPr>
          <w:rFonts w:ascii="宋体" w:hAnsi="宋体" w:cs="宋体"/>
          <w:b/>
          <w:bCs/>
          <w:sz w:val="20"/>
          <w:szCs w:val="21"/>
        </w:rPr>
      </w:pPr>
      <w:r>
        <w:rPr>
          <w:rFonts w:ascii="宋体" w:hAnsi="宋体" w:cs="宋体" w:hint="eastAsia"/>
          <w:b/>
          <w:bCs/>
          <w:sz w:val="20"/>
          <w:szCs w:val="21"/>
        </w:rPr>
        <w:t>请投资者在购买本理财产品前认真阅读以上条款，尤其是加粗的条款。如果投资者不同意本协议的任何内容，或者无法准确理解相关条款的解释，请不要进行后续操作。</w:t>
      </w:r>
    </w:p>
    <w:p w:rsidR="00CF1BA8" w:rsidRDefault="00CF1BA8" w:rsidP="00CF1BA8">
      <w:pPr>
        <w:pStyle w:val="13"/>
        <w:spacing w:line="360" w:lineRule="auto"/>
        <w:ind w:firstLine="400"/>
        <w:rPr>
          <w:rFonts w:ascii="宋体" w:hAnsi="宋体" w:cs="宋体"/>
          <w:sz w:val="20"/>
          <w:szCs w:val="21"/>
        </w:rPr>
      </w:pPr>
      <w:r>
        <w:rPr>
          <w:rFonts w:ascii="宋体" w:hAnsi="宋体" w:cs="宋体" w:hint="eastAsia"/>
          <w:sz w:val="20"/>
          <w:szCs w:val="21"/>
        </w:rPr>
        <w:t>（以下无正文）</w:t>
      </w:r>
    </w:p>
    <w:p w:rsidR="00CF1BA8" w:rsidRDefault="00CF1BA8" w:rsidP="00CF1BA8">
      <w:pPr>
        <w:pStyle w:val="13"/>
        <w:spacing w:line="360" w:lineRule="auto"/>
        <w:ind w:firstLine="400"/>
        <w:rPr>
          <w:rFonts w:ascii="宋体" w:hAnsi="宋体" w:cs="宋体"/>
          <w:sz w:val="20"/>
          <w:szCs w:val="21"/>
        </w:rPr>
      </w:pPr>
    </w:p>
    <w:p w:rsidR="00CF1BA8" w:rsidRDefault="00CF1BA8" w:rsidP="00CF1BA8">
      <w:pPr>
        <w:spacing w:line="360" w:lineRule="auto"/>
        <w:rPr>
          <w:rStyle w:val="fontstyle01"/>
          <w:szCs w:val="21"/>
        </w:rPr>
      </w:pPr>
      <w:r>
        <w:rPr>
          <w:rStyle w:val="fontstyle01"/>
          <w:szCs w:val="21"/>
        </w:rPr>
        <w:t>个人投资者（如适用）：</w:t>
      </w:r>
      <w:r>
        <w:rPr>
          <w:rStyle w:val="fontstyle01"/>
          <w:szCs w:val="21"/>
        </w:rPr>
        <w:t xml:space="preserve">                   </w:t>
      </w:r>
      <w:r>
        <w:rPr>
          <w:rStyle w:val="fontstyle01"/>
          <w:szCs w:val="21"/>
        </w:rPr>
        <w:t>机构投资者（如适用）：</w:t>
      </w:r>
    </w:p>
    <w:p w:rsidR="00CF1BA8" w:rsidRDefault="00CF1BA8" w:rsidP="00CF1BA8">
      <w:pPr>
        <w:spacing w:line="360" w:lineRule="auto"/>
        <w:rPr>
          <w:rStyle w:val="fontstyle01"/>
          <w:szCs w:val="21"/>
        </w:rPr>
      </w:pPr>
      <w:r>
        <w:rPr>
          <w:rStyle w:val="fontstyle01"/>
          <w:szCs w:val="21"/>
        </w:rPr>
        <w:t>个人投资者：</w:t>
      </w:r>
      <w:r>
        <w:rPr>
          <w:rStyle w:val="fontstyle01"/>
          <w:szCs w:val="21"/>
        </w:rPr>
        <w:t xml:space="preserve"> </w:t>
      </w:r>
      <w:r>
        <w:rPr>
          <w:rStyle w:val="fontstyle01"/>
          <w:szCs w:val="21"/>
        </w:rPr>
        <w:t>（签名或盖章）</w:t>
      </w:r>
      <w:r>
        <w:rPr>
          <w:rStyle w:val="fontstyle01"/>
          <w:szCs w:val="21"/>
        </w:rPr>
        <w:t xml:space="preserve">              </w:t>
      </w:r>
      <w:r>
        <w:rPr>
          <w:rStyle w:val="fontstyle01"/>
          <w:szCs w:val="21"/>
        </w:rPr>
        <w:t>机构投资者：</w:t>
      </w:r>
      <w:r>
        <w:rPr>
          <w:rStyle w:val="fontstyle01"/>
          <w:szCs w:val="21"/>
        </w:rPr>
        <w:t xml:space="preserve"> </w:t>
      </w:r>
      <w:r>
        <w:rPr>
          <w:rStyle w:val="fontstyle01"/>
          <w:szCs w:val="21"/>
        </w:rPr>
        <w:t>（</w:t>
      </w:r>
      <w:r>
        <w:rPr>
          <w:rFonts w:ascii="宋体" w:hAnsi="宋体" w:cs="宋体" w:hint="eastAsia"/>
          <w:sz w:val="20"/>
          <w:szCs w:val="21"/>
        </w:rPr>
        <w:t>公章或合同专用章</w:t>
      </w:r>
      <w:r>
        <w:rPr>
          <w:rStyle w:val="fontstyle01"/>
          <w:szCs w:val="21"/>
        </w:rPr>
        <w:t>）</w:t>
      </w:r>
    </w:p>
    <w:p w:rsidR="00CF1BA8" w:rsidRDefault="00CF1BA8" w:rsidP="00CF1BA8">
      <w:pPr>
        <w:spacing w:line="360" w:lineRule="auto"/>
        <w:rPr>
          <w:rStyle w:val="fontstyle01"/>
          <w:szCs w:val="21"/>
        </w:rPr>
      </w:pPr>
      <w:r>
        <w:rPr>
          <w:rStyle w:val="fontstyle01"/>
          <w:szCs w:val="21"/>
        </w:rPr>
        <w:lastRenderedPageBreak/>
        <w:t xml:space="preserve">   </w:t>
      </w:r>
      <w:r>
        <w:rPr>
          <w:rStyle w:val="fontstyle01"/>
          <w:szCs w:val="21"/>
        </w:rPr>
        <w:t>年</w:t>
      </w:r>
      <w:r>
        <w:rPr>
          <w:rStyle w:val="fontstyle01"/>
          <w:szCs w:val="21"/>
        </w:rPr>
        <w:t xml:space="preserve">  </w:t>
      </w:r>
      <w:r>
        <w:rPr>
          <w:rStyle w:val="fontstyle01"/>
          <w:szCs w:val="21"/>
        </w:rPr>
        <w:t>月</w:t>
      </w:r>
      <w:r>
        <w:rPr>
          <w:rStyle w:val="fontstyle01"/>
          <w:szCs w:val="21"/>
        </w:rPr>
        <w:t xml:space="preserve">  </w:t>
      </w:r>
      <w:r>
        <w:rPr>
          <w:rStyle w:val="fontstyle01"/>
          <w:szCs w:val="21"/>
        </w:rPr>
        <w:t>日</w:t>
      </w:r>
      <w:r>
        <w:rPr>
          <w:rStyle w:val="fontstyle01"/>
          <w:szCs w:val="21"/>
        </w:rPr>
        <w:t xml:space="preserve">                           </w:t>
      </w:r>
      <w:r>
        <w:rPr>
          <w:rStyle w:val="fontstyle01"/>
          <w:szCs w:val="21"/>
        </w:rPr>
        <w:t>法定代表人或授权代理人：（签名或盖章）</w:t>
      </w:r>
    </w:p>
    <w:p w:rsidR="00CF1BA8" w:rsidRDefault="00CF1BA8" w:rsidP="00CF1BA8">
      <w:pPr>
        <w:widowControl/>
        <w:jc w:val="left"/>
      </w:pPr>
      <w:r>
        <w:rPr>
          <w:rStyle w:val="fontstyle01"/>
          <w:szCs w:val="21"/>
        </w:rPr>
        <w:t xml:space="preserve">                                            </w:t>
      </w:r>
      <w:r>
        <w:rPr>
          <w:rStyle w:val="fontstyle01"/>
          <w:szCs w:val="21"/>
        </w:rPr>
        <w:t>年</w:t>
      </w:r>
      <w:r>
        <w:rPr>
          <w:rStyle w:val="fontstyle01"/>
          <w:szCs w:val="21"/>
        </w:rPr>
        <w:t xml:space="preserve">    </w:t>
      </w:r>
      <w:r>
        <w:rPr>
          <w:rStyle w:val="fontstyle01"/>
          <w:szCs w:val="21"/>
        </w:rPr>
        <w:t>月</w:t>
      </w:r>
      <w:r>
        <w:rPr>
          <w:rStyle w:val="fontstyle01"/>
          <w:szCs w:val="21"/>
        </w:rPr>
        <w:t xml:space="preserve">   </w:t>
      </w:r>
      <w:r>
        <w:rPr>
          <w:rStyle w:val="fontstyle01"/>
          <w:szCs w:val="21"/>
        </w:rPr>
        <w:t>日</w:t>
      </w:r>
    </w:p>
    <w:p w:rsidR="00CF1BA8" w:rsidRDefault="00CF1BA8" w:rsidP="00CF1BA8">
      <w:pPr>
        <w:pStyle w:val="a3"/>
        <w:ind w:left="360" w:firstLineChars="0" w:firstLine="0"/>
        <w:rPr>
          <w:b/>
          <w:kern w:val="0"/>
          <w:sz w:val="15"/>
          <w:szCs w:val="11"/>
        </w:rPr>
      </w:pPr>
    </w:p>
    <w:p w:rsidR="00CF1BA8" w:rsidRDefault="00CF1BA8" w:rsidP="00CF1BA8">
      <w:pPr>
        <w:pStyle w:val="a3"/>
        <w:ind w:left="360" w:firstLine="301"/>
        <w:rPr>
          <w:rFonts w:ascii="宋体"/>
          <w:b/>
          <w:bCs/>
          <w:color w:val="3D3D3D"/>
          <w:kern w:val="0"/>
          <w:sz w:val="15"/>
          <w:szCs w:val="15"/>
        </w:rPr>
      </w:pPr>
    </w:p>
    <w:p w:rsidR="00CF1BA8" w:rsidRDefault="00CF1BA8" w:rsidP="00CF1BA8">
      <w:pPr>
        <w:pStyle w:val="a3"/>
        <w:ind w:left="360" w:firstLine="301"/>
        <w:rPr>
          <w:rFonts w:ascii="宋体"/>
          <w:b/>
          <w:bCs/>
          <w:color w:val="3D3D3D"/>
          <w:kern w:val="0"/>
          <w:sz w:val="15"/>
          <w:szCs w:val="15"/>
        </w:rPr>
      </w:pPr>
    </w:p>
    <w:p w:rsidR="00CF1BA8" w:rsidRDefault="00CF1BA8" w:rsidP="00CF1BA8"/>
    <w:p w:rsidR="00410864" w:rsidRDefault="00410864">
      <w:pPr>
        <w:rPr>
          <w:rFonts w:ascii="方正黑体_GBK" w:eastAsia="方正黑体_GBK" w:hAnsi="方正黑体_GBK" w:cs="方正黑体_GBK"/>
          <w:b/>
          <w:bCs/>
          <w:color w:val="3D3D3D"/>
          <w:kern w:val="0"/>
          <w:sz w:val="15"/>
          <w:szCs w:val="15"/>
        </w:rPr>
      </w:pPr>
    </w:p>
    <w:sectPr w:rsidR="00410864" w:rsidSect="00CF1BA8">
      <w:headerReference w:type="default" r:id="rId8"/>
      <w:footerReference w:type="default" r:id="rId9"/>
      <w:pgSz w:w="11906" w:h="16838"/>
      <w:pgMar w:top="720" w:right="720" w:bottom="720" w:left="720" w:header="510" w:footer="624"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FAE" w:rsidRDefault="00051FAE">
      <w:r>
        <w:separator/>
      </w:r>
    </w:p>
  </w:endnote>
  <w:endnote w:type="continuationSeparator" w:id="0">
    <w:p w:rsidR="00051FAE" w:rsidRDefault="0005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xi Sans">
    <w:altName w:val="Arial"/>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YaHei_PDF_Subset">
    <w:altName w:val="Times New Roman"/>
    <w:charset w:val="00"/>
    <w:family w:val="roman"/>
    <w:pitch w:val="default"/>
    <w:sig w:usb0="00000000" w:usb1="00000000" w:usb2="00000000" w:usb3="00000000" w:csb0="00040001" w:csb1="00000000"/>
  </w:font>
  <w:font w:name="方正黑体_GBK">
    <w:altName w:val="Microsoft YaHei UI"/>
    <w:charset w:val="86"/>
    <w:family w:val="script"/>
    <w:pitch w:val="default"/>
    <w:sig w:usb0="00000001" w:usb1="080E0000" w:usb2="00000000" w:usb3="00000000" w:csb0="00040000" w:csb1="00000000"/>
  </w:font>
  <w:font w:name="方正细黑一简体">
    <w:altName w:val="宋体"/>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64" w:rsidRDefault="006B59FA">
    <w:pPr>
      <w:pStyle w:val="a6"/>
      <w:tabs>
        <w:tab w:val="clear" w:pos="8307"/>
        <w:tab w:val="right" w:pos="8306"/>
      </w:tabs>
      <w:jc w:val="center"/>
    </w:pPr>
    <w:r>
      <w:rPr>
        <w:b/>
        <w:sz w:val="24"/>
        <w:szCs w:val="24"/>
      </w:rPr>
      <w:fldChar w:fldCharType="begin"/>
    </w:r>
    <w:r>
      <w:rPr>
        <w:b/>
      </w:rPr>
      <w:instrText>PAGE</w:instrText>
    </w:r>
    <w:r>
      <w:rPr>
        <w:b/>
        <w:sz w:val="24"/>
        <w:szCs w:val="24"/>
      </w:rPr>
      <w:fldChar w:fldCharType="separate"/>
    </w:r>
    <w:r w:rsidR="00CC59EC">
      <w:rPr>
        <w:b/>
        <w:noProof/>
      </w:rPr>
      <w:t>21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C59EC">
      <w:rPr>
        <w:b/>
        <w:noProof/>
      </w:rPr>
      <w:t>21</w:t>
    </w:r>
    <w:r>
      <w:rPr>
        <w:b/>
        <w:sz w:val="24"/>
        <w:szCs w:val="24"/>
      </w:rPr>
      <w:fldChar w:fldCharType="end"/>
    </w:r>
  </w:p>
  <w:p w:rsidR="00410864" w:rsidRDefault="00410864">
    <w:pPr>
      <w:pStyle w:val="a6"/>
      <w:tabs>
        <w:tab w:val="clear" w:pos="8307"/>
        <w:tab w:val="right" w:pos="830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FAE" w:rsidRDefault="00051FAE">
      <w:r>
        <w:separator/>
      </w:r>
    </w:p>
  </w:footnote>
  <w:footnote w:type="continuationSeparator" w:id="0">
    <w:p w:rsidR="00051FAE" w:rsidRDefault="00051F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64" w:rsidRDefault="006B59FA">
    <w:pPr>
      <w:pStyle w:val="a7"/>
      <w:pBdr>
        <w:bottom w:val="single" w:sz="4" w:space="1" w:color="auto"/>
      </w:pBdr>
      <w:jc w:val="right"/>
    </w:pPr>
    <w:r>
      <w:t xml:space="preserve">   </w:t>
    </w:r>
    <w:r>
      <w:rPr>
        <w:rFonts w:ascii="宋体" w:hint="eastAsia"/>
      </w:rPr>
      <w:t>南银理财理财产品销售文件（</w:t>
    </w:r>
    <w:r>
      <w:t>2021</w:t>
    </w:r>
    <w:r>
      <w:rPr>
        <w:rFonts w:ascii="宋体" w:hint="eastAsia"/>
      </w:rPr>
      <w:t>第</w:t>
    </w:r>
    <w:r>
      <w:t>2</w:t>
    </w:r>
    <w:r>
      <w:rPr>
        <w:rFonts w:ascii="宋体" w:hint="eastAsia"/>
      </w:rPr>
      <w:t>版）</w:t>
    </w:r>
    <w: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0864" w:rsidRDefault="006B59FA">
    <w:pPr>
      <w:pStyle w:val="a7"/>
      <w:pBdr>
        <w:bottom w:val="single" w:sz="4" w:space="1" w:color="auto"/>
      </w:pBdr>
      <w:tabs>
        <w:tab w:val="clear" w:pos="8307"/>
        <w:tab w:val="right" w:pos="8306"/>
      </w:tabs>
      <w:jc w:val="right"/>
    </w:pPr>
    <w:r>
      <w:rPr>
        <w:rFonts w:hint="eastAsia"/>
      </w:rPr>
      <w:t>南银理财理财产品销售文件（</w:t>
    </w:r>
    <w:r>
      <w:rPr>
        <w:rFonts w:hint="eastAsia"/>
      </w:rPr>
      <w:t>2021</w:t>
    </w:r>
    <w:r>
      <w:rPr>
        <w:rFonts w:hint="eastAsia"/>
      </w:rPr>
      <w:t>第</w:t>
    </w:r>
    <w:r>
      <w:rPr>
        <w:rFonts w:hint="eastAsia"/>
      </w:rPr>
      <w:t>2</w:t>
    </w:r>
    <w:r>
      <w:rPr>
        <w:rFonts w:hint="eastAsia"/>
      </w:rPr>
      <w:t>版）</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F31918"/>
    <w:multiLevelType w:val="singleLevel"/>
    <w:tmpl w:val="87F31918"/>
    <w:lvl w:ilvl="0">
      <w:start w:val="1"/>
      <w:numFmt w:val="decimal"/>
      <w:suff w:val="nothing"/>
      <w:lvlText w:val="%1、"/>
      <w:lvlJc w:val="left"/>
    </w:lvl>
  </w:abstractNum>
  <w:abstractNum w:abstractNumId="1" w15:restartNumberingAfterBreak="0">
    <w:nsid w:val="9239341B"/>
    <w:multiLevelType w:val="multilevel"/>
    <w:tmpl w:val="9239341B"/>
    <w:lvl w:ilvl="0">
      <w:start w:val="1"/>
      <w:numFmt w:val="decimal"/>
      <w:lvlText w:val="%1."/>
      <w:lvlJc w:val="left"/>
      <w:pPr>
        <w:tabs>
          <w:tab w:val="left" w:pos="0"/>
        </w:tabs>
        <w:ind w:left="660" w:hanging="360"/>
      </w:pPr>
      <w:rPr>
        <w:rFonts w:ascii="Times New Roman" w:hAnsi="Times New Roman" w:hint="default"/>
      </w:rPr>
    </w:lvl>
    <w:lvl w:ilvl="1">
      <w:start w:val="1"/>
      <w:numFmt w:val="lowerLetter"/>
      <w:lvlText w:val="%2)"/>
      <w:lvlJc w:val="left"/>
      <w:pPr>
        <w:tabs>
          <w:tab w:val="left" w:pos="0"/>
        </w:tabs>
        <w:ind w:left="1140" w:hanging="420"/>
      </w:pPr>
      <w:rPr>
        <w:rFonts w:ascii="Times New Roman" w:hAnsi="Times New Roman" w:hint="default"/>
      </w:rPr>
    </w:lvl>
    <w:lvl w:ilvl="2">
      <w:start w:val="1"/>
      <w:numFmt w:val="decimal"/>
      <w:lvlText w:val="%3."/>
      <w:lvlJc w:val="right"/>
      <w:pPr>
        <w:tabs>
          <w:tab w:val="left" w:pos="0"/>
        </w:tabs>
        <w:ind w:left="1560" w:hanging="420"/>
      </w:pPr>
      <w:rPr>
        <w:rFonts w:ascii="Times New Roman" w:hAnsi="Times New Roman" w:hint="default"/>
      </w:rPr>
    </w:lvl>
    <w:lvl w:ilvl="3">
      <w:start w:val="1"/>
      <w:numFmt w:val="decimal"/>
      <w:lvlText w:val="%4."/>
      <w:lvlJc w:val="left"/>
      <w:pPr>
        <w:tabs>
          <w:tab w:val="left" w:pos="0"/>
        </w:tabs>
        <w:ind w:left="1980" w:hanging="420"/>
      </w:pPr>
      <w:rPr>
        <w:rFonts w:ascii="Times New Roman" w:hAnsi="Times New Roman" w:hint="default"/>
      </w:rPr>
    </w:lvl>
    <w:lvl w:ilvl="4">
      <w:start w:val="1"/>
      <w:numFmt w:val="lowerLetter"/>
      <w:lvlText w:val="%5)"/>
      <w:lvlJc w:val="left"/>
      <w:pPr>
        <w:tabs>
          <w:tab w:val="left" w:pos="0"/>
        </w:tabs>
        <w:ind w:left="2400" w:hanging="420"/>
      </w:pPr>
      <w:rPr>
        <w:rFonts w:ascii="Times New Roman" w:hAnsi="Times New Roman" w:hint="default"/>
      </w:rPr>
    </w:lvl>
    <w:lvl w:ilvl="5">
      <w:start w:val="1"/>
      <w:numFmt w:val="decimal"/>
      <w:lvlText w:val="%6."/>
      <w:lvlJc w:val="right"/>
      <w:pPr>
        <w:tabs>
          <w:tab w:val="left" w:pos="0"/>
        </w:tabs>
        <w:ind w:left="2820" w:hanging="420"/>
      </w:pPr>
      <w:rPr>
        <w:rFonts w:ascii="Times New Roman" w:hAnsi="Times New Roman" w:hint="default"/>
      </w:rPr>
    </w:lvl>
    <w:lvl w:ilvl="6">
      <w:start w:val="1"/>
      <w:numFmt w:val="decimal"/>
      <w:lvlText w:val="%7."/>
      <w:lvlJc w:val="left"/>
      <w:pPr>
        <w:tabs>
          <w:tab w:val="left" w:pos="0"/>
        </w:tabs>
        <w:ind w:left="3240" w:hanging="420"/>
      </w:pPr>
      <w:rPr>
        <w:rFonts w:ascii="Times New Roman" w:hAnsi="Times New Roman" w:hint="default"/>
      </w:rPr>
    </w:lvl>
    <w:lvl w:ilvl="7">
      <w:start w:val="1"/>
      <w:numFmt w:val="lowerLetter"/>
      <w:lvlText w:val="%8)"/>
      <w:lvlJc w:val="left"/>
      <w:pPr>
        <w:tabs>
          <w:tab w:val="left" w:pos="0"/>
        </w:tabs>
        <w:ind w:left="3660" w:hanging="420"/>
      </w:pPr>
      <w:rPr>
        <w:rFonts w:ascii="Times New Roman" w:hAnsi="Times New Roman" w:hint="default"/>
      </w:rPr>
    </w:lvl>
    <w:lvl w:ilvl="8">
      <w:start w:val="1"/>
      <w:numFmt w:val="decimal"/>
      <w:lvlText w:val="%9."/>
      <w:lvlJc w:val="right"/>
      <w:pPr>
        <w:tabs>
          <w:tab w:val="left" w:pos="0"/>
        </w:tabs>
        <w:ind w:left="4080" w:hanging="420"/>
      </w:pPr>
      <w:rPr>
        <w:rFonts w:ascii="Times New Roman" w:hAnsi="Times New Roman" w:hint="default"/>
      </w:rPr>
    </w:lvl>
  </w:abstractNum>
  <w:abstractNum w:abstractNumId="2" w15:restartNumberingAfterBreak="0">
    <w:nsid w:val="0248C179"/>
    <w:multiLevelType w:val="multilevel"/>
    <w:tmpl w:val="0248C179"/>
    <w:lvl w:ilvl="0">
      <w:start w:val="1"/>
      <w:numFmt w:val="japaneseCounting"/>
      <w:lvlText w:val="（%1）"/>
      <w:lvlJc w:val="left"/>
      <w:pPr>
        <w:tabs>
          <w:tab w:val="left" w:pos="0"/>
        </w:tabs>
        <w:ind w:left="1021" w:hanging="720"/>
      </w:pPr>
      <w:rPr>
        <w:rFonts w:ascii="Times New Roman" w:hAnsi="Times New Roman" w:hint="default"/>
      </w:rPr>
    </w:lvl>
    <w:lvl w:ilvl="1">
      <w:start w:val="1"/>
      <w:numFmt w:val="lowerLetter"/>
      <w:lvlText w:val="%2)"/>
      <w:lvlJc w:val="left"/>
      <w:pPr>
        <w:tabs>
          <w:tab w:val="left" w:pos="0"/>
        </w:tabs>
        <w:ind w:left="1141" w:hanging="420"/>
      </w:pPr>
      <w:rPr>
        <w:rFonts w:ascii="Times New Roman" w:hAnsi="Times New Roman" w:hint="default"/>
      </w:rPr>
    </w:lvl>
    <w:lvl w:ilvl="2">
      <w:start w:val="1"/>
      <w:numFmt w:val="decimal"/>
      <w:lvlText w:val="%3."/>
      <w:lvlJc w:val="right"/>
      <w:pPr>
        <w:tabs>
          <w:tab w:val="left" w:pos="0"/>
        </w:tabs>
        <w:ind w:left="1561" w:hanging="420"/>
      </w:pPr>
      <w:rPr>
        <w:rFonts w:ascii="Times New Roman" w:hAnsi="Times New Roman" w:hint="default"/>
      </w:rPr>
    </w:lvl>
    <w:lvl w:ilvl="3">
      <w:start w:val="1"/>
      <w:numFmt w:val="decimal"/>
      <w:lvlText w:val="%4."/>
      <w:lvlJc w:val="left"/>
      <w:pPr>
        <w:tabs>
          <w:tab w:val="left" w:pos="0"/>
        </w:tabs>
        <w:ind w:left="1981" w:hanging="420"/>
      </w:pPr>
      <w:rPr>
        <w:rFonts w:ascii="Times New Roman" w:hAnsi="Times New Roman" w:hint="default"/>
      </w:rPr>
    </w:lvl>
    <w:lvl w:ilvl="4">
      <w:start w:val="1"/>
      <w:numFmt w:val="lowerLetter"/>
      <w:lvlText w:val="%5)"/>
      <w:lvlJc w:val="left"/>
      <w:pPr>
        <w:tabs>
          <w:tab w:val="left" w:pos="0"/>
        </w:tabs>
        <w:ind w:left="2401" w:hanging="420"/>
      </w:pPr>
      <w:rPr>
        <w:rFonts w:ascii="Times New Roman" w:hAnsi="Times New Roman" w:hint="default"/>
      </w:rPr>
    </w:lvl>
    <w:lvl w:ilvl="5">
      <w:start w:val="1"/>
      <w:numFmt w:val="decimal"/>
      <w:lvlText w:val="%6."/>
      <w:lvlJc w:val="right"/>
      <w:pPr>
        <w:tabs>
          <w:tab w:val="left" w:pos="0"/>
        </w:tabs>
        <w:ind w:left="2821" w:hanging="420"/>
      </w:pPr>
      <w:rPr>
        <w:rFonts w:ascii="Times New Roman" w:hAnsi="Times New Roman" w:hint="default"/>
      </w:rPr>
    </w:lvl>
    <w:lvl w:ilvl="6">
      <w:start w:val="1"/>
      <w:numFmt w:val="decimal"/>
      <w:lvlText w:val="%7."/>
      <w:lvlJc w:val="left"/>
      <w:pPr>
        <w:tabs>
          <w:tab w:val="left" w:pos="0"/>
        </w:tabs>
        <w:ind w:left="3241" w:hanging="420"/>
      </w:pPr>
      <w:rPr>
        <w:rFonts w:ascii="Times New Roman" w:hAnsi="Times New Roman" w:hint="default"/>
      </w:rPr>
    </w:lvl>
    <w:lvl w:ilvl="7">
      <w:start w:val="1"/>
      <w:numFmt w:val="lowerLetter"/>
      <w:lvlText w:val="%8)"/>
      <w:lvlJc w:val="left"/>
      <w:pPr>
        <w:tabs>
          <w:tab w:val="left" w:pos="0"/>
        </w:tabs>
        <w:ind w:left="3661" w:hanging="420"/>
      </w:pPr>
      <w:rPr>
        <w:rFonts w:ascii="Times New Roman" w:hAnsi="Times New Roman" w:hint="default"/>
      </w:rPr>
    </w:lvl>
    <w:lvl w:ilvl="8">
      <w:start w:val="1"/>
      <w:numFmt w:val="decimal"/>
      <w:lvlText w:val="%9."/>
      <w:lvlJc w:val="right"/>
      <w:pPr>
        <w:tabs>
          <w:tab w:val="left" w:pos="0"/>
        </w:tabs>
        <w:ind w:left="4081" w:hanging="420"/>
      </w:pPr>
      <w:rPr>
        <w:rFonts w:ascii="Times New Roman" w:hAnsi="Times New Roman" w:hint="default"/>
      </w:rPr>
    </w:lvl>
  </w:abstractNum>
  <w:abstractNum w:abstractNumId="3" w15:restartNumberingAfterBreak="0">
    <w:nsid w:val="25B654F3"/>
    <w:multiLevelType w:val="multilevel"/>
    <w:tmpl w:val="25B654F3"/>
    <w:lvl w:ilvl="0">
      <w:start w:val="1"/>
      <w:numFmt w:val="chineseCountingThousand"/>
      <w:lvlText w:val="（%1）"/>
      <w:legacy w:legacy="1" w:legacySpace="0" w:legacyIndent="420"/>
      <w:lvlJc w:val="left"/>
      <w:pPr>
        <w:ind w:left="704" w:hanging="420"/>
      </w:pPr>
      <w:rPr>
        <w:rFonts w:ascii="宋体" w:eastAsia="宋体" w:hAnsi="宋体" w:hint="eastAsia"/>
        <w:b w:val="0"/>
        <w:bCs w:val="0"/>
      </w:rPr>
    </w:lvl>
    <w:lvl w:ilvl="1">
      <w:start w:val="1"/>
      <w:numFmt w:val="lowerLetter"/>
      <w:lvlText w:val="%2)"/>
      <w:legacy w:legacy="1" w:legacySpace="0" w:legacyIndent="420"/>
      <w:lvlJc w:val="left"/>
      <w:pPr>
        <w:ind w:left="1124" w:hanging="420"/>
      </w:pPr>
      <w:rPr>
        <w:rFonts w:ascii="Times New Roman" w:hAnsi="Times New Roman" w:hint="default"/>
      </w:rPr>
    </w:lvl>
    <w:lvl w:ilvl="2">
      <w:start w:val="1"/>
      <w:numFmt w:val="decimal"/>
      <w:lvlText w:val="%3."/>
      <w:legacy w:legacy="1" w:legacySpace="0" w:legacyIndent="420"/>
      <w:lvlJc w:val="right"/>
      <w:pPr>
        <w:ind w:left="1544" w:hanging="420"/>
      </w:pPr>
      <w:rPr>
        <w:rFonts w:ascii="Times New Roman" w:hAnsi="Times New Roman" w:hint="default"/>
      </w:rPr>
    </w:lvl>
    <w:lvl w:ilvl="3">
      <w:start w:val="1"/>
      <w:numFmt w:val="decimal"/>
      <w:lvlText w:val="%4."/>
      <w:legacy w:legacy="1" w:legacySpace="0" w:legacyIndent="420"/>
      <w:lvlJc w:val="left"/>
      <w:pPr>
        <w:ind w:left="1964" w:hanging="420"/>
      </w:pPr>
      <w:rPr>
        <w:rFonts w:ascii="Times New Roman" w:hAnsi="Times New Roman" w:hint="default"/>
      </w:rPr>
    </w:lvl>
    <w:lvl w:ilvl="4">
      <w:start w:val="1"/>
      <w:numFmt w:val="lowerLetter"/>
      <w:lvlText w:val="%5)"/>
      <w:legacy w:legacy="1" w:legacySpace="0" w:legacyIndent="420"/>
      <w:lvlJc w:val="left"/>
      <w:pPr>
        <w:ind w:left="2384" w:hanging="420"/>
      </w:pPr>
      <w:rPr>
        <w:rFonts w:ascii="Times New Roman" w:hAnsi="Times New Roman" w:hint="default"/>
      </w:rPr>
    </w:lvl>
    <w:lvl w:ilvl="5">
      <w:start w:val="1"/>
      <w:numFmt w:val="decimal"/>
      <w:lvlText w:val="%6."/>
      <w:legacy w:legacy="1" w:legacySpace="0" w:legacyIndent="420"/>
      <w:lvlJc w:val="right"/>
      <w:pPr>
        <w:ind w:left="2804" w:hanging="420"/>
      </w:pPr>
      <w:rPr>
        <w:rFonts w:ascii="Times New Roman" w:hAnsi="Times New Roman" w:hint="default"/>
      </w:rPr>
    </w:lvl>
    <w:lvl w:ilvl="6">
      <w:start w:val="1"/>
      <w:numFmt w:val="decimal"/>
      <w:lvlText w:val="%7."/>
      <w:legacy w:legacy="1" w:legacySpace="0" w:legacyIndent="420"/>
      <w:lvlJc w:val="left"/>
      <w:pPr>
        <w:ind w:left="3224" w:hanging="420"/>
      </w:pPr>
      <w:rPr>
        <w:rFonts w:ascii="Times New Roman" w:hAnsi="Times New Roman" w:hint="default"/>
      </w:rPr>
    </w:lvl>
    <w:lvl w:ilvl="7">
      <w:start w:val="1"/>
      <w:numFmt w:val="lowerLetter"/>
      <w:lvlText w:val="%8)"/>
      <w:legacy w:legacy="1" w:legacySpace="0" w:legacyIndent="420"/>
      <w:lvlJc w:val="left"/>
      <w:pPr>
        <w:ind w:left="3644" w:hanging="420"/>
      </w:pPr>
      <w:rPr>
        <w:rFonts w:ascii="Times New Roman" w:hAnsi="Times New Roman" w:hint="default"/>
      </w:rPr>
    </w:lvl>
    <w:lvl w:ilvl="8">
      <w:start w:val="1"/>
      <w:numFmt w:val="decimal"/>
      <w:lvlText w:val="%9."/>
      <w:legacy w:legacy="1" w:legacySpace="0" w:legacyIndent="420"/>
      <w:lvlJc w:val="right"/>
      <w:pPr>
        <w:ind w:left="4064" w:hanging="420"/>
      </w:pPr>
      <w:rPr>
        <w:rFonts w:ascii="Times New Roman" w:hAnsi="Times New Roman" w:hint="default"/>
      </w:rPr>
    </w:lvl>
  </w:abstractNum>
  <w:abstractNum w:abstractNumId="4" w15:restartNumberingAfterBreak="0">
    <w:nsid w:val="2EA814D3"/>
    <w:multiLevelType w:val="multilevel"/>
    <w:tmpl w:val="2EA814D3"/>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5" w15:restartNumberingAfterBreak="0">
    <w:nsid w:val="38167239"/>
    <w:multiLevelType w:val="multilevel"/>
    <w:tmpl w:val="38167239"/>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6" w15:restartNumberingAfterBreak="0">
    <w:nsid w:val="3CFA0BAF"/>
    <w:multiLevelType w:val="multilevel"/>
    <w:tmpl w:val="3CFA0BAF"/>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7" w15:restartNumberingAfterBreak="0">
    <w:nsid w:val="3F15C910"/>
    <w:multiLevelType w:val="multilevel"/>
    <w:tmpl w:val="3F15C910"/>
    <w:lvl w:ilvl="0">
      <w:start w:val="4"/>
      <w:numFmt w:val="chineseCounting"/>
      <w:suff w:val="space"/>
      <w:lvlText w:val="第%1条"/>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15:restartNumberingAfterBreak="0">
    <w:nsid w:val="510A3506"/>
    <w:multiLevelType w:val="singleLevel"/>
    <w:tmpl w:val="510A3506"/>
    <w:lvl w:ilvl="0">
      <w:start w:val="1"/>
      <w:numFmt w:val="decimal"/>
      <w:suff w:val="nothing"/>
      <w:lvlText w:val="（%1）"/>
      <w:lvlJc w:val="left"/>
    </w:lvl>
  </w:abstractNum>
  <w:abstractNum w:abstractNumId="9" w15:restartNumberingAfterBreak="0">
    <w:nsid w:val="54B02AA4"/>
    <w:multiLevelType w:val="multilevel"/>
    <w:tmpl w:val="54B02AA4"/>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5DF84C9C"/>
    <w:multiLevelType w:val="singleLevel"/>
    <w:tmpl w:val="5DF84C9C"/>
    <w:lvl w:ilvl="0">
      <w:start w:val="1"/>
      <w:numFmt w:val="decimal"/>
      <w:suff w:val="nothing"/>
      <w:lvlText w:val="%1."/>
      <w:lvlJc w:val="left"/>
    </w:lvl>
  </w:abstractNum>
  <w:abstractNum w:abstractNumId="11" w15:restartNumberingAfterBreak="0">
    <w:nsid w:val="5DF84CBD"/>
    <w:multiLevelType w:val="singleLevel"/>
    <w:tmpl w:val="5DF84CBD"/>
    <w:lvl w:ilvl="0">
      <w:start w:val="1"/>
      <w:numFmt w:val="decimal"/>
      <w:suff w:val="nothing"/>
      <w:lvlText w:val="（%1）"/>
      <w:lvlJc w:val="left"/>
    </w:lvl>
  </w:abstractNum>
  <w:abstractNum w:abstractNumId="12" w15:restartNumberingAfterBreak="0">
    <w:nsid w:val="5DF84D07"/>
    <w:multiLevelType w:val="singleLevel"/>
    <w:tmpl w:val="5DF84D07"/>
    <w:lvl w:ilvl="0">
      <w:start w:val="1"/>
      <w:numFmt w:val="decimal"/>
      <w:suff w:val="nothing"/>
      <w:lvlText w:val="（%1）"/>
      <w:lvlJc w:val="left"/>
    </w:lvl>
  </w:abstractNum>
  <w:abstractNum w:abstractNumId="13" w15:restartNumberingAfterBreak="0">
    <w:nsid w:val="6D2A3EBA"/>
    <w:multiLevelType w:val="singleLevel"/>
    <w:tmpl w:val="6D2A3EBA"/>
    <w:lvl w:ilvl="0">
      <w:start w:val="1"/>
      <w:numFmt w:val="decimal"/>
      <w:suff w:val="nothing"/>
      <w:lvlText w:val="（%1）"/>
      <w:lvlJc w:val="left"/>
    </w:lvl>
  </w:abstractNum>
  <w:abstractNum w:abstractNumId="14" w15:restartNumberingAfterBreak="0">
    <w:nsid w:val="72183CF9"/>
    <w:multiLevelType w:val="multilevel"/>
    <w:tmpl w:val="72183CF9"/>
    <w:lvl w:ilvl="0">
      <w:start w:val="1"/>
      <w:numFmt w:val="decimal"/>
      <w:lvlText w:val="（%1）"/>
      <w:legacy w:legacy="1" w:legacySpace="0" w:legacyIndent="420"/>
      <w:lvlJc w:val="left"/>
      <w:pPr>
        <w:ind w:left="709" w:hanging="420"/>
      </w:pPr>
      <w:rPr>
        <w:rFonts w:ascii="Times New Roman" w:hAnsi="Times New Roman"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5" w15:restartNumberingAfterBreak="0">
    <w:nsid w:val="7A29506B"/>
    <w:multiLevelType w:val="singleLevel"/>
    <w:tmpl w:val="7A29506B"/>
    <w:lvl w:ilvl="0">
      <w:start w:val="1"/>
      <w:numFmt w:val="decimal"/>
      <w:suff w:val="nothing"/>
      <w:lvlText w:val="（%1）"/>
      <w:lvlJc w:val="left"/>
    </w:lvl>
  </w:abstractNum>
  <w:num w:numId="1">
    <w:abstractNumId w:val="3"/>
  </w:num>
  <w:num w:numId="2">
    <w:abstractNumId w:val="14"/>
  </w:num>
  <w:num w:numId="3">
    <w:abstractNumId w:val="2"/>
  </w:num>
  <w:num w:numId="4">
    <w:abstractNumId w:val="1"/>
  </w:num>
  <w:num w:numId="5">
    <w:abstractNumId w:val="10"/>
  </w:num>
  <w:num w:numId="6">
    <w:abstractNumId w:val="11"/>
  </w:num>
  <w:num w:numId="7">
    <w:abstractNumId w:val="12"/>
  </w:num>
  <w:num w:numId="8">
    <w:abstractNumId w:val="8"/>
  </w:num>
  <w:num w:numId="9">
    <w:abstractNumId w:val="9"/>
  </w:num>
  <w:num w:numId="10">
    <w:abstractNumId w:val="6"/>
  </w:num>
  <w:num w:numId="11">
    <w:abstractNumId w:val="15"/>
  </w:num>
  <w:num w:numId="12">
    <w:abstractNumId w:val="5"/>
  </w:num>
  <w:num w:numId="13">
    <w:abstractNumId w:val="4"/>
  </w:num>
  <w:num w:numId="14">
    <w:abstractNumId w:val="13"/>
  </w:num>
  <w:num w:numId="15">
    <w:abstractNumId w:val="0"/>
  </w:num>
  <w:num w:numId="16">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num>
  <w:num w:numId="18">
    <w:abstractNumId w:val="11"/>
    <w:lvlOverride w:ilvl="0">
      <w:startOverride w:val="1"/>
    </w:lvlOverride>
  </w:num>
  <w:num w:numId="19">
    <w:abstractNumId w:val="12"/>
    <w:lvlOverride w:ilvl="0">
      <w:startOverride w:val="1"/>
    </w:lvlOverride>
  </w:num>
  <w:num w:numId="20">
    <w:abstractNumId w:val="8"/>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ocumentProtection w:edit="readOnly" w:enforcement="0"/>
  <w:defaultTabStop w:val="420"/>
  <w:drawingGridHorizontalSpacing w:val="105"/>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M1ZGZjZGI0NDAxNWRlYTU1MDQzODcxYWQzMWNkMWYifQ=="/>
  </w:docVars>
  <w:rsids>
    <w:rsidRoot w:val="00410864"/>
    <w:rsid w:val="00051FAE"/>
    <w:rsid w:val="00410864"/>
    <w:rsid w:val="006B59FA"/>
    <w:rsid w:val="00CC59EC"/>
    <w:rsid w:val="00CF1BA8"/>
    <w:rsid w:val="022263AB"/>
    <w:rsid w:val="03270DA5"/>
    <w:rsid w:val="04FF2756"/>
    <w:rsid w:val="05A02A85"/>
    <w:rsid w:val="05FA6857"/>
    <w:rsid w:val="06EC748D"/>
    <w:rsid w:val="086074E8"/>
    <w:rsid w:val="0CF70C44"/>
    <w:rsid w:val="19924EC5"/>
    <w:rsid w:val="1C157C37"/>
    <w:rsid w:val="1EF055ED"/>
    <w:rsid w:val="21530DC7"/>
    <w:rsid w:val="224866F0"/>
    <w:rsid w:val="23A42656"/>
    <w:rsid w:val="2CDD5343"/>
    <w:rsid w:val="2E852ACB"/>
    <w:rsid w:val="33697CEA"/>
    <w:rsid w:val="355A2CCA"/>
    <w:rsid w:val="376D4A28"/>
    <w:rsid w:val="3A386400"/>
    <w:rsid w:val="3CF43399"/>
    <w:rsid w:val="3D4B20D5"/>
    <w:rsid w:val="41D97E6B"/>
    <w:rsid w:val="434A053E"/>
    <w:rsid w:val="44902025"/>
    <w:rsid w:val="4B08477A"/>
    <w:rsid w:val="4EBC01AF"/>
    <w:rsid w:val="5B505CE1"/>
    <w:rsid w:val="5BCF0BD4"/>
    <w:rsid w:val="5BF86449"/>
    <w:rsid w:val="5F0B0627"/>
    <w:rsid w:val="5FBC1984"/>
    <w:rsid w:val="615102B2"/>
    <w:rsid w:val="61FE22BC"/>
    <w:rsid w:val="64D21726"/>
    <w:rsid w:val="65AC6E78"/>
    <w:rsid w:val="663B62E3"/>
    <w:rsid w:val="67531688"/>
    <w:rsid w:val="690C14EF"/>
    <w:rsid w:val="6C5A7C50"/>
    <w:rsid w:val="6E733620"/>
    <w:rsid w:val="6F2A2D4B"/>
    <w:rsid w:val="76D844EE"/>
    <w:rsid w:val="79AA711A"/>
    <w:rsid w:val="7A5A2570"/>
    <w:rsid w:val="7B811F45"/>
    <w:rsid w:val="7C5148F4"/>
    <w:rsid w:val="7D6F1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9B9E997-81DD-466C-953D-A02EAB41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Normal Indent" w:qFormat="1"/>
    <w:lsdException w:name="annotation text" w:unhideWhenUsed="1" w:qFormat="1"/>
    <w:lsdException w:name="header" w:qFormat="1"/>
    <w:lsdException w:name="footer" w:qFormat="1"/>
    <w:lsdException w:name="caption" w:semiHidden="1" w:unhideWhenUsed="1"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kern w:val="2"/>
      <w:sz w:val="18"/>
      <w:szCs w:val="18"/>
    </w:rPr>
  </w:style>
  <w:style w:type="paragraph" w:styleId="10">
    <w:name w:val="heading 1"/>
    <w:basedOn w:val="a"/>
    <w:next w:val="a"/>
    <w:qFormat/>
    <w:pPr>
      <w:keepNext/>
      <w:keepLines/>
      <w:spacing w:before="340" w:after="330" w:line="578" w:lineRule="auto"/>
      <w:outlineLvl w:val="0"/>
    </w:pPr>
    <w:rPr>
      <w:b/>
      <w:bCs/>
      <w:kern w:val="44"/>
      <w:sz w:val="44"/>
    </w:rPr>
  </w:style>
  <w:style w:type="paragraph" w:styleId="2">
    <w:name w:val="heading 2"/>
    <w:basedOn w:val="a"/>
    <w:next w:val="a"/>
    <w:qFormat/>
    <w:pPr>
      <w:keepNext/>
      <w:keepLines/>
      <w:spacing w:before="260" w:after="260" w:line="415" w:lineRule="auto"/>
      <w:outlineLvl w:val="1"/>
    </w:pPr>
    <w:rPr>
      <w:rFonts w:ascii="Luxi Sans" w:eastAsia="黑体" w:hAnsi="Luxi Sans"/>
      <w:b/>
      <w:sz w:val="32"/>
    </w:rPr>
  </w:style>
  <w:style w:type="paragraph" w:styleId="3">
    <w:name w:val="heading 3"/>
    <w:basedOn w:val="a"/>
    <w:next w:val="a"/>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引文目录1"/>
    <w:next w:val="a"/>
    <w:qFormat/>
    <w:pPr>
      <w:widowControl w:val="0"/>
      <w:spacing w:before="100" w:beforeAutospacing="1" w:after="100" w:afterAutospacing="1"/>
      <w:ind w:leftChars="200" w:left="200"/>
      <w:jc w:val="both"/>
      <w:textAlignment w:val="baseline"/>
    </w:pPr>
    <w:rPr>
      <w:kern w:val="2"/>
      <w:sz w:val="21"/>
      <w:szCs w:val="21"/>
    </w:rPr>
  </w:style>
  <w:style w:type="paragraph" w:styleId="a3">
    <w:name w:val="Normal Indent"/>
    <w:basedOn w:val="a"/>
    <w:qFormat/>
    <w:pPr>
      <w:ind w:firstLineChars="200" w:firstLine="200"/>
    </w:pPr>
  </w:style>
  <w:style w:type="paragraph" w:styleId="a4">
    <w:name w:val="annotation text"/>
    <w:basedOn w:val="a"/>
    <w:link w:val="a5"/>
    <w:unhideWhenUsed/>
    <w:qFormat/>
    <w:pPr>
      <w:jc w:val="left"/>
    </w:pPr>
  </w:style>
  <w:style w:type="paragraph" w:styleId="5">
    <w:name w:val="toc 5"/>
    <w:basedOn w:val="a"/>
    <w:next w:val="a"/>
    <w:qFormat/>
    <w:pPr>
      <w:ind w:left="1680"/>
    </w:pPr>
  </w:style>
  <w:style w:type="paragraph" w:styleId="30">
    <w:name w:val="toc 3"/>
    <w:basedOn w:val="a"/>
    <w:next w:val="a"/>
    <w:qFormat/>
    <w:pPr>
      <w:ind w:left="840"/>
    </w:pPr>
  </w:style>
  <w:style w:type="paragraph" w:styleId="a6">
    <w:name w:val="footer"/>
    <w:basedOn w:val="a"/>
    <w:qFormat/>
    <w:pPr>
      <w:tabs>
        <w:tab w:val="center" w:pos="4153"/>
        <w:tab w:val="right" w:pos="8307"/>
      </w:tabs>
      <w:snapToGrid w:val="0"/>
      <w:jc w:val="left"/>
    </w:pPr>
  </w:style>
  <w:style w:type="paragraph" w:styleId="a7">
    <w:name w:val="header"/>
    <w:basedOn w:val="a"/>
    <w:qFormat/>
    <w:pPr>
      <w:pBdr>
        <w:bottom w:val="single" w:sz="6" w:space="1" w:color="auto"/>
      </w:pBdr>
      <w:tabs>
        <w:tab w:val="center" w:pos="4153"/>
        <w:tab w:val="right" w:pos="8307"/>
      </w:tabs>
      <w:snapToGrid w:val="0"/>
      <w:jc w:val="center"/>
    </w:pPr>
  </w:style>
  <w:style w:type="paragraph" w:styleId="11">
    <w:name w:val="toc 1"/>
    <w:basedOn w:val="a"/>
    <w:next w:val="a"/>
    <w:qFormat/>
  </w:style>
  <w:style w:type="paragraph" w:styleId="4">
    <w:name w:val="toc 4"/>
    <w:basedOn w:val="a"/>
    <w:next w:val="a"/>
    <w:qFormat/>
    <w:pPr>
      <w:ind w:left="1260"/>
    </w:pPr>
  </w:style>
  <w:style w:type="paragraph" w:styleId="20">
    <w:name w:val="toc 2"/>
    <w:basedOn w:val="a"/>
    <w:next w:val="a"/>
    <w:qFormat/>
    <w:pPr>
      <w:ind w:left="420"/>
    </w:pPr>
  </w:style>
  <w:style w:type="paragraph" w:styleId="a8">
    <w:name w:val="Normal (Web)"/>
    <w:basedOn w:val="a"/>
    <w:next w:val="11"/>
    <w:qFormat/>
    <w:pPr>
      <w:widowControl/>
      <w:spacing w:before="102" w:after="102" w:line="1099" w:lineRule="atLeast"/>
      <w:ind w:firstLine="419"/>
      <w:jc w:val="left"/>
      <w:textAlignment w:val="baseline"/>
    </w:pPr>
    <w:rPr>
      <w:kern w:val="0"/>
      <w:sz w:val="24"/>
      <w:szCs w:val="24"/>
    </w:rPr>
  </w:style>
  <w:style w:type="character" w:styleId="a9">
    <w:name w:val="Hyperlink"/>
    <w:basedOn w:val="a0"/>
    <w:qFormat/>
    <w:rPr>
      <w:color w:val="0000FF"/>
      <w:u w:val="single"/>
    </w:rPr>
  </w:style>
  <w:style w:type="paragraph" w:customStyle="1" w:styleId="Normal2a0e2cb9">
    <w:name w:val="Normal2a0e2cb9"/>
    <w:next w:val="a3"/>
    <w:qFormat/>
    <w:pPr>
      <w:widowControl w:val="0"/>
      <w:jc w:val="both"/>
    </w:pPr>
    <w:rPr>
      <w:kern w:val="2"/>
      <w:sz w:val="21"/>
      <w:szCs w:val="21"/>
    </w:rPr>
  </w:style>
  <w:style w:type="paragraph" w:customStyle="1" w:styleId="heading106d739e7">
    <w:name w:val="heading 106d739e7"/>
    <w:basedOn w:val="Normal2a0e2cb9"/>
    <w:next w:val="a"/>
    <w:qFormat/>
    <w:pPr>
      <w:keepNext/>
      <w:keepLines/>
      <w:spacing w:before="340" w:after="330" w:line="578" w:lineRule="auto"/>
      <w:outlineLvl w:val="0"/>
    </w:pPr>
    <w:rPr>
      <w:b/>
      <w:bCs/>
      <w:kern w:val="44"/>
      <w:sz w:val="44"/>
    </w:rPr>
  </w:style>
  <w:style w:type="paragraph" w:customStyle="1" w:styleId="heading2a532caab">
    <w:name w:val="heading 2a532caab"/>
    <w:basedOn w:val="Normal2a0e2cb9"/>
    <w:next w:val="a"/>
    <w:qFormat/>
    <w:pPr>
      <w:keepNext/>
      <w:keepLines/>
      <w:spacing w:before="260" w:after="260" w:line="415" w:lineRule="auto"/>
      <w:outlineLvl w:val="1"/>
    </w:pPr>
    <w:rPr>
      <w:rFonts w:ascii="Luxi Sans" w:eastAsia="黑体" w:hAnsi="Luxi Sans"/>
      <w:b/>
      <w:sz w:val="32"/>
    </w:rPr>
  </w:style>
  <w:style w:type="paragraph" w:customStyle="1" w:styleId="heading30c49bbdf">
    <w:name w:val="heading 30c49bbdf"/>
    <w:basedOn w:val="Normal2a0e2cb9"/>
    <w:next w:val="a"/>
    <w:qFormat/>
    <w:pPr>
      <w:keepNext/>
      <w:keepLines/>
      <w:spacing w:before="260" w:after="260" w:line="415" w:lineRule="auto"/>
      <w:outlineLvl w:val="2"/>
    </w:pPr>
    <w:rPr>
      <w:b/>
      <w:sz w:val="32"/>
    </w:rPr>
  </w:style>
  <w:style w:type="character" w:customStyle="1" w:styleId="DefaultParagraphFontef7dbe2e">
    <w:name w:val="Default Paragraph Fontef7dbe2e"/>
    <w:qFormat/>
  </w:style>
  <w:style w:type="paragraph" w:customStyle="1" w:styleId="152c3a372">
    <w:name w:val="引文目录152c3a372"/>
    <w:basedOn w:val="Normal2a0e2cb9"/>
    <w:next w:val="a"/>
    <w:qFormat/>
    <w:pPr>
      <w:ind w:leftChars="200" w:left="200"/>
    </w:pPr>
  </w:style>
  <w:style w:type="paragraph" w:customStyle="1" w:styleId="toc5814443a1">
    <w:name w:val="toc 5814443a1"/>
    <w:basedOn w:val="Normal2a0e2cb9"/>
    <w:next w:val="a"/>
    <w:qFormat/>
    <w:pPr>
      <w:ind w:left="1680"/>
    </w:pPr>
  </w:style>
  <w:style w:type="paragraph" w:customStyle="1" w:styleId="toc358a81267">
    <w:name w:val="toc 358a81267"/>
    <w:basedOn w:val="Normal2a0e2cb9"/>
    <w:next w:val="a"/>
    <w:qFormat/>
    <w:pPr>
      <w:ind w:left="840"/>
    </w:pPr>
  </w:style>
  <w:style w:type="paragraph" w:customStyle="1" w:styleId="footere2633012">
    <w:name w:val="footere2633012"/>
    <w:basedOn w:val="Normal2a0e2cb9"/>
    <w:qFormat/>
    <w:pPr>
      <w:tabs>
        <w:tab w:val="center" w:pos="4153"/>
        <w:tab w:val="right" w:pos="8307"/>
      </w:tabs>
      <w:snapToGrid w:val="0"/>
      <w:jc w:val="left"/>
    </w:pPr>
    <w:rPr>
      <w:sz w:val="18"/>
    </w:rPr>
  </w:style>
  <w:style w:type="paragraph" w:customStyle="1" w:styleId="header98166802">
    <w:name w:val="header98166802"/>
    <w:basedOn w:val="Normal2a0e2cb9"/>
    <w:qFormat/>
    <w:pPr>
      <w:pBdr>
        <w:bottom w:val="single" w:sz="6" w:space="1" w:color="auto"/>
      </w:pBdr>
      <w:tabs>
        <w:tab w:val="center" w:pos="4153"/>
        <w:tab w:val="right" w:pos="8307"/>
      </w:tabs>
      <w:snapToGrid w:val="0"/>
      <w:jc w:val="center"/>
    </w:pPr>
    <w:rPr>
      <w:sz w:val="18"/>
    </w:rPr>
  </w:style>
  <w:style w:type="paragraph" w:customStyle="1" w:styleId="toc1ea45d4f9">
    <w:name w:val="toc 1ea45d4f9"/>
    <w:basedOn w:val="Normal2a0e2cb9"/>
    <w:next w:val="a"/>
    <w:qFormat/>
  </w:style>
  <w:style w:type="paragraph" w:customStyle="1" w:styleId="toc4243ad1d3">
    <w:name w:val="toc 4243ad1d3"/>
    <w:basedOn w:val="Normal2a0e2cb9"/>
    <w:next w:val="a"/>
    <w:qFormat/>
    <w:pPr>
      <w:ind w:left="1260"/>
    </w:pPr>
  </w:style>
  <w:style w:type="paragraph" w:customStyle="1" w:styleId="toc245ff133a">
    <w:name w:val="toc 245ff133a"/>
    <w:basedOn w:val="Normal2a0e2cb9"/>
    <w:next w:val="a"/>
    <w:qFormat/>
    <w:pPr>
      <w:ind w:left="420"/>
    </w:pPr>
  </w:style>
  <w:style w:type="paragraph" w:customStyle="1" w:styleId="1dd8a4702">
    <w:name w:val="列出段落1dd8a4702"/>
    <w:next w:val="20"/>
    <w:qFormat/>
    <w:pPr>
      <w:widowControl w:val="0"/>
      <w:ind w:firstLineChars="200" w:firstLine="200"/>
      <w:jc w:val="both"/>
    </w:pPr>
    <w:rPr>
      <w:kern w:val="2"/>
      <w:sz w:val="21"/>
      <w:szCs w:val="21"/>
    </w:rPr>
  </w:style>
  <w:style w:type="paragraph" w:customStyle="1" w:styleId="Normald09cbf9a">
    <w:name w:val="Normald09cbf9a"/>
    <w:qFormat/>
    <w:pPr>
      <w:widowControl w:val="0"/>
      <w:jc w:val="both"/>
    </w:pPr>
    <w:rPr>
      <w:rFonts w:ascii="Calibri" w:hAnsi="Calibri"/>
      <w:kern w:val="2"/>
      <w:sz w:val="21"/>
      <w:szCs w:val="21"/>
    </w:rPr>
  </w:style>
  <w:style w:type="paragraph" w:customStyle="1" w:styleId="annotationtext23">
    <w:name w:val="annotation text23"/>
    <w:next w:val="11"/>
    <w:qFormat/>
    <w:pPr>
      <w:widowControl w:val="0"/>
    </w:pPr>
    <w:rPr>
      <w:rFonts w:ascii="Calibri" w:hAnsi="Calibri"/>
      <w:kern w:val="2"/>
      <w:sz w:val="21"/>
      <w:szCs w:val="21"/>
    </w:rPr>
  </w:style>
  <w:style w:type="paragraph" w:customStyle="1" w:styleId="12">
    <w:name w:val="列出段落1"/>
    <w:basedOn w:val="a"/>
    <w:uiPriority w:val="99"/>
    <w:qFormat/>
    <w:pPr>
      <w:ind w:firstLineChars="200" w:firstLine="420"/>
    </w:pPr>
  </w:style>
  <w:style w:type="paragraph" w:customStyle="1" w:styleId="13">
    <w:name w:val="列表段落1"/>
    <w:basedOn w:val="a"/>
    <w:uiPriority w:val="34"/>
    <w:unhideWhenUsed/>
    <w:qFormat/>
    <w:pPr>
      <w:ind w:firstLineChars="200" w:firstLine="420"/>
    </w:pPr>
  </w:style>
  <w:style w:type="character" w:customStyle="1" w:styleId="fontstyle01">
    <w:name w:val="fontstyle01"/>
    <w:qFormat/>
    <w:rPr>
      <w:rFonts w:ascii="MicrosoftYaHei_PDF_Subset" w:hAnsi="MicrosoftYaHei_PDF_Subset" w:hint="default"/>
      <w:color w:val="000000"/>
      <w:sz w:val="20"/>
      <w:szCs w:val="20"/>
    </w:rPr>
  </w:style>
  <w:style w:type="character" w:customStyle="1" w:styleId="a5">
    <w:name w:val="批注文字 字符"/>
    <w:basedOn w:val="a0"/>
    <w:link w:val="a4"/>
    <w:rsid w:val="00CF1BA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254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6108</Words>
  <Characters>34821</Characters>
  <Application>Microsoft Office Word</Application>
  <DocSecurity>0</DocSecurity>
  <Lines>290</Lines>
  <Paragraphs>81</Paragraphs>
  <ScaleCrop>false</ScaleCrop>
  <Company>P R C</Company>
  <LinksUpToDate>false</LinksUpToDate>
  <CharactersWithSpaces>40848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4</cp:revision>
  <cp:lastPrinted>2023-10-12T01:02:00Z</cp:lastPrinted>
  <dcterms:created xsi:type="dcterms:W3CDTF">2022-08-09T07:38:00Z</dcterms:created>
  <dcterms:modified xsi:type="dcterms:W3CDTF">2023-10-12T01:02:00Z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68C8E82CD18643AEA7727C442743BC3B</vt:lpwstr>
  </property>
</Properties>
</file>