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autoSpaceDE w:val="0"/>
        <w:autoSpaceDN w:val="0"/>
        <w:adjustRightInd w:val="0"/>
        <w:spacing w:line="500" w:lineRule="exact"/>
        <w:jc w:val="center"/>
        <w:rPr>
          <w:rFonts w:hint="eastAsia" w:ascii="华文细黑" w:hAnsi="华文细黑" w:eastAsia="华文细黑" w:cs="Times New Roman"/>
          <w:b/>
          <w:sz w:val="28"/>
          <w:szCs w:val="30"/>
        </w:rPr>
      </w:pPr>
      <w:bookmarkStart w:id="0" w:name="_Toc297635535"/>
      <w:r>
        <w:rPr>
          <w:rFonts w:hint="eastAsia" w:ascii="华文细黑" w:hAnsi="华文细黑" w:eastAsia="华文细黑" w:cs="Times New Roman"/>
          <w:b/>
          <w:sz w:val="28"/>
          <w:szCs w:val="30"/>
          <w:lang w:eastAsia="zh-CN"/>
        </w:rPr>
        <w:t>《泰康安盈两全A款保险》</w:t>
      </w:r>
      <w:r>
        <w:rPr>
          <w:rFonts w:hint="eastAsia" w:ascii="华文细黑" w:hAnsi="华文细黑" w:eastAsia="华文细黑" w:cs="Times New Roman"/>
          <w:b/>
          <w:sz w:val="28"/>
          <w:szCs w:val="30"/>
        </w:rPr>
        <w:t>投保规则</w:t>
      </w:r>
      <w:bookmarkEnd w:id="0"/>
    </w:p>
    <w:p>
      <w:pPr>
        <w:tabs>
          <w:tab w:val="left" w:pos="567"/>
        </w:tabs>
        <w:autoSpaceDE w:val="0"/>
        <w:autoSpaceDN w:val="0"/>
        <w:adjustRightInd w:val="0"/>
        <w:spacing w:line="500" w:lineRule="exact"/>
        <w:jc w:val="center"/>
        <w:rPr>
          <w:rFonts w:hint="eastAsia" w:ascii="华文细黑" w:hAnsi="华文细黑" w:eastAsia="华文细黑" w:cs="Times New Roman"/>
          <w:b/>
          <w:sz w:val="28"/>
          <w:szCs w:val="30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highlight w:val="none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highlight w:val="none"/>
          <w:lang w:val="en-US" w:eastAsia="zh-CN"/>
        </w:rPr>
        <w:t>被保险人年龄：0岁（出生满30天且出院）-70周岁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val="en-US" w:eastAsia="zh-CN"/>
        </w:rPr>
        <w:t>交费年期：趸交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val="en-US" w:eastAsia="zh-CN"/>
        </w:rPr>
        <w:t>保险期间：5年、6年、8年、10年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投被保险人关系：成年人为本人、父母、配偶、子女；未成年人为父母、非父母（参考《非父母为未成年人投保标准化意见（</w:t>
      </w:r>
      <w:r>
        <w:rPr>
          <w:rFonts w:hint="eastAsia" w:ascii="华文细黑" w:hAnsi="华文细黑" w:eastAsia="华文细黑" w:cs="仿宋_GB2312"/>
          <w:kern w:val="0"/>
          <w:sz w:val="24"/>
          <w:szCs w:val="28"/>
          <w:lang w:val="en-US" w:eastAsia="zh-CN"/>
        </w:rPr>
        <w:t>2022版</w:t>
      </w: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）》）。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</w:pPr>
      <w:bookmarkStart w:id="1" w:name="OLE_LINK19"/>
      <w:bookmarkStart w:id="2" w:name="OLE_LINK18"/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职业类别：1-6类，5、6类职业无职业加费，拒保职业不受理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寿险EM≤300%时不进行健康加费，额外死亡率＞300%时拒保</w:t>
      </w:r>
    </w:p>
    <w:bookmarkEnd w:id="1"/>
    <w:bookmarkEnd w:id="2"/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风险保额计算方式：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5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  <w:t>被保险人年龄</w:t>
            </w:r>
          </w:p>
        </w:tc>
        <w:tc>
          <w:tcPr>
            <w:tcW w:w="5917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  <w:t>累计风险保额计入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  <w:t>0-17周岁</w:t>
            </w:r>
          </w:p>
        </w:tc>
        <w:tc>
          <w:tcPr>
            <w:tcW w:w="5917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  <w:t>不计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  <w:t>18-40周岁</w:t>
            </w:r>
          </w:p>
        </w:tc>
        <w:tc>
          <w:tcPr>
            <w:tcW w:w="5917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  <w:t>保费</w:t>
            </w: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  <w:t>*0.6倍计入累计寿险风险保额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  <w:t>41-60周岁</w:t>
            </w:r>
          </w:p>
        </w:tc>
        <w:tc>
          <w:tcPr>
            <w:tcW w:w="5917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华文细黑" w:hAnsi="华文细黑" w:eastAsia="华文细黑"/>
                <w:color w:val="000000"/>
                <w:sz w:val="24"/>
                <w:szCs w:val="28"/>
                <w:vertAlign w:val="baseline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eastAsia="zh-CN"/>
              </w:rPr>
              <w:t>保费</w:t>
            </w: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vertAlign w:val="baseline"/>
                <w:lang w:val="en-US" w:eastAsia="zh-CN"/>
              </w:rPr>
              <w:t>*0.4倍计入累计寿险风险保额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shd w:val="clear" w:color="auto" w:fill="auto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4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highlight w:val="none"/>
                <w:vertAlign w:val="baseline"/>
                <w:lang w:val="en-US" w:eastAsia="zh-CN"/>
              </w:rPr>
              <w:t>61周岁及以上</w:t>
            </w:r>
          </w:p>
        </w:tc>
        <w:tc>
          <w:tcPr>
            <w:tcW w:w="5917" w:type="dxa"/>
            <w:shd w:val="clear" w:color="auto" w:fill="auto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华文细黑" w:hAnsi="华文细黑" w:eastAsia="华文细黑"/>
                <w:color w:val="000000"/>
                <w:sz w:val="24"/>
                <w:szCs w:val="28"/>
                <w:highlight w:val="yellow"/>
                <w:vertAlign w:val="baseline"/>
              </w:rPr>
            </w:pP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highlight w:val="none"/>
                <w:vertAlign w:val="baseline"/>
                <w:lang w:eastAsia="zh-CN"/>
              </w:rPr>
              <w:t>保费</w:t>
            </w:r>
            <w:r>
              <w:rPr>
                <w:rFonts w:hint="eastAsia" w:ascii="华文细黑" w:hAnsi="华文细黑" w:eastAsia="华文细黑"/>
                <w:color w:val="000000"/>
                <w:sz w:val="24"/>
                <w:szCs w:val="28"/>
                <w:highlight w:val="none"/>
                <w:vertAlign w:val="baseline"/>
                <w:lang w:val="en-US" w:eastAsia="zh-CN"/>
              </w:rPr>
              <w:t>*0.2倍计入累计寿险风险保额</w:t>
            </w:r>
          </w:p>
        </w:tc>
      </w:tr>
    </w:tbl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/>
          <w:color w:val="00000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体检、财务、生调规则：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6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eastAsia="zh-CN"/>
              </w:rPr>
              <w:t>被保险人年龄</w:t>
            </w:r>
          </w:p>
        </w:tc>
        <w:tc>
          <w:tcPr>
            <w:tcW w:w="677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eastAsia="zh-CN"/>
              </w:rPr>
            </w:pPr>
            <w:r>
              <w:rPr>
                <w:rFonts w:hint="eastAsia" w:ascii="华文细黑" w:hAnsi="华文细黑" w:eastAsia="华文细黑" w:cs="仿宋_GB2312"/>
                <w:kern w:val="0"/>
                <w:sz w:val="22"/>
                <w:szCs w:val="24"/>
                <w:lang w:eastAsia="zh-CN"/>
              </w:rPr>
              <w:t>累计寿险风险保额</w:t>
            </w:r>
            <w:r>
              <w:rPr>
                <w:rFonts w:hint="eastAsia" w:ascii="华文细黑" w:hAnsi="华文细黑" w:eastAsia="华文细黑" w:cs="仿宋_GB2312"/>
                <w:kern w:val="0"/>
                <w:sz w:val="22"/>
                <w:szCs w:val="24"/>
                <w:lang w:val="en-US" w:eastAsia="zh-CN"/>
              </w:rPr>
              <w:t>超过</w:t>
            </w:r>
            <w:r>
              <w:rPr>
                <w:rFonts w:hint="eastAsia" w:ascii="华文细黑" w:hAnsi="华文细黑" w:eastAsia="华文细黑" w:cs="仿宋_GB2312"/>
                <w:kern w:val="0"/>
                <w:sz w:val="22"/>
                <w:szCs w:val="24"/>
                <w:lang w:eastAsia="zh-CN"/>
              </w:rPr>
              <w:t>以下额度，需体检、财务资料收集、生调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18-45周岁</w:t>
            </w:r>
          </w:p>
        </w:tc>
        <w:tc>
          <w:tcPr>
            <w:tcW w:w="677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default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1200万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46-55周岁</w:t>
            </w:r>
          </w:p>
        </w:tc>
        <w:tc>
          <w:tcPr>
            <w:tcW w:w="677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default" w:ascii="华文细黑" w:hAnsi="华文细黑" w:eastAsia="华文细黑"/>
                <w:color w:val="000000"/>
                <w:sz w:val="22"/>
                <w:szCs w:val="24"/>
                <w:vertAlign w:val="baseline"/>
                <w:lang w:val="en-US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1000万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default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56-60周岁</w:t>
            </w:r>
          </w:p>
        </w:tc>
        <w:tc>
          <w:tcPr>
            <w:tcW w:w="677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default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800万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61周岁及以上</w:t>
            </w:r>
          </w:p>
        </w:tc>
        <w:tc>
          <w:tcPr>
            <w:tcW w:w="6771" w:type="dxa"/>
          </w:tcPr>
          <w:p>
            <w:pPr>
              <w:pStyle w:val="8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default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 w:val="22"/>
                <w:szCs w:val="24"/>
                <w:vertAlign w:val="baseline"/>
                <w:lang w:val="en-US" w:eastAsia="zh-CN"/>
              </w:rPr>
              <w:t>500万</w:t>
            </w:r>
          </w:p>
        </w:tc>
      </w:tr>
    </w:tbl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/>
          <w:color w:val="000000"/>
          <w:sz w:val="24"/>
          <w:szCs w:val="28"/>
          <w:lang w:eastAsia="zh-CN"/>
        </w:rPr>
      </w:pP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未成年人投保，同类责任（未成年人身故或全残保险金为已交保费和现价取大）的寿险产品累计</w:t>
      </w:r>
      <w:r>
        <w:rPr>
          <w:rFonts w:hint="eastAsia" w:ascii="华文细黑" w:hAnsi="华文细黑" w:eastAsia="华文细黑" w:cs="仿宋_GB2312"/>
          <w:kern w:val="0"/>
          <w:sz w:val="24"/>
          <w:szCs w:val="28"/>
          <w:lang w:val="en-US" w:eastAsia="zh-CN"/>
        </w:rPr>
        <w:t>最高</w:t>
      </w:r>
      <w:r>
        <w:rPr>
          <w:rFonts w:hint="eastAsia" w:ascii="华文细黑" w:hAnsi="华文细黑" w:eastAsia="华文细黑" w:cs="仿宋_GB2312"/>
          <w:kern w:val="0"/>
          <w:sz w:val="24"/>
          <w:szCs w:val="28"/>
          <w:lang w:eastAsia="zh-CN"/>
        </w:rPr>
        <w:t>满期保费为</w:t>
      </w:r>
      <w:r>
        <w:rPr>
          <w:rFonts w:hint="eastAsia" w:ascii="华文细黑" w:hAnsi="华文细黑" w:eastAsia="华文细黑" w:cs="仿宋_GB2312"/>
          <w:kern w:val="0"/>
          <w:sz w:val="24"/>
          <w:szCs w:val="28"/>
          <w:lang w:val="en-US" w:eastAsia="zh-CN"/>
        </w:rPr>
        <w:t>1000万元。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460" w:lineRule="exact"/>
        <w:ind w:left="567" w:hanging="567"/>
        <w:jc w:val="left"/>
        <w:rPr>
          <w:rFonts w:hint="eastAsia" w:ascii="华文细黑" w:hAnsi="华文细黑" w:eastAsia="华文细黑"/>
          <w:color w:val="000000"/>
          <w:sz w:val="24"/>
          <w:szCs w:val="28"/>
          <w:lang w:eastAsia="zh-CN"/>
        </w:rPr>
      </w:pPr>
      <w:r>
        <w:rPr>
          <w:rFonts w:hint="eastAsia" w:ascii="华文细黑" w:hAnsi="华文细黑" w:eastAsia="华文细黑"/>
          <w:color w:val="000000"/>
          <w:sz w:val="24"/>
          <w:szCs w:val="28"/>
          <w:lang w:eastAsia="zh-CN"/>
        </w:rPr>
        <w:t>本险种其他未尽事宜遵照通则有关规定执行。</w:t>
      </w:r>
    </w:p>
    <w:p>
      <w:pPr>
        <w:pStyle w:val="8"/>
        <w:widowControl w:val="0"/>
        <w:numPr>
          <w:ilvl w:val="0"/>
          <w:numId w:val="0"/>
        </w:numPr>
        <w:tabs>
          <w:tab w:val="left" w:pos="567"/>
        </w:tabs>
        <w:autoSpaceDE w:val="0"/>
        <w:autoSpaceDN w:val="0"/>
        <w:adjustRightInd w:val="0"/>
        <w:spacing w:line="460" w:lineRule="exac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3" w:name="_GoBack"/>
    <w:bookmarkEnd w:id="3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04EBF"/>
    <w:multiLevelType w:val="multilevel"/>
    <w:tmpl w:val="4ED04EBF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41136"/>
    <w:rsid w:val="08D15DA5"/>
    <w:rsid w:val="0A0D5C63"/>
    <w:rsid w:val="0AEE277F"/>
    <w:rsid w:val="15EF0C9D"/>
    <w:rsid w:val="19573B1F"/>
    <w:rsid w:val="1D710938"/>
    <w:rsid w:val="1EAB6E96"/>
    <w:rsid w:val="1F171757"/>
    <w:rsid w:val="21E508A7"/>
    <w:rsid w:val="22B714AD"/>
    <w:rsid w:val="22C17038"/>
    <w:rsid w:val="29751715"/>
    <w:rsid w:val="297639B9"/>
    <w:rsid w:val="29780915"/>
    <w:rsid w:val="30F50398"/>
    <w:rsid w:val="329521AE"/>
    <w:rsid w:val="33B51F64"/>
    <w:rsid w:val="388D6C4C"/>
    <w:rsid w:val="3ACC4808"/>
    <w:rsid w:val="3D011321"/>
    <w:rsid w:val="402370F1"/>
    <w:rsid w:val="444643D3"/>
    <w:rsid w:val="46A61801"/>
    <w:rsid w:val="489432C6"/>
    <w:rsid w:val="49502C46"/>
    <w:rsid w:val="4B3C4525"/>
    <w:rsid w:val="4D876DE7"/>
    <w:rsid w:val="4E0646EF"/>
    <w:rsid w:val="5C4A5A09"/>
    <w:rsid w:val="62E73C76"/>
    <w:rsid w:val="630C6A8F"/>
    <w:rsid w:val="63F56799"/>
    <w:rsid w:val="6B7E45E0"/>
    <w:rsid w:val="7213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liuchong11</dc:creator>
  <cp:lastModifiedBy>Administrator</cp:lastModifiedBy>
  <dcterms:modified xsi:type="dcterms:W3CDTF">2025-09-02T10:19:26Z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430FEED33CDE482FA3ABCCDAD0CE58FB</vt:lpwstr>
  </property>
  <property fmtid="{D5CDD505-2E9C-101B-9397-08002B2CF9AE}" pid="4" name="fileWhereFroms">
    <vt:lpwstr>PpjeLB1gRN0lwrPqMaCTknKk+oKT7tZtG9Hux0QAp4v+0f/zqHrJEGMxmDoSUuspL90xlgKYVFkq9H06Nins7ub2GQgZNLYzgjrWD/C7D86L1Kex5PfDuKQOg5o6epURMh9voisf7JrW1PstpRE4cF582thz43Ji/EoPdWNEEhDhttv4t66NcvwZTrsUd912NkMPM4ptAqXPirZ0Uo5IIeWMcLoxs5TOw5r69QwS/YSM3OUPnDAgLMC82h/EcwETy3XrKXony6rZZyl+ELLN+oXEMrALrTh/cmyG8RXtEqJvFUK5Md5218CVYekeHrOxBUjEpQNwJjnL/mTqdBfR+tfNuGci8AD+/oU2H5/+c2hk5RzkEeVNUZ3Vn+NzgdT1</vt:lpwstr>
  </property>
</Properties>
</file>