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Arial"/>
          <w:color w:val="000000"/>
          <w:sz w:val="28"/>
          <w:szCs w:val="28"/>
        </w:rPr>
      </w:pPr>
      <w:bookmarkStart w:id="0" w:name="OLE_LINK2"/>
      <w:r>
        <w:rPr>
          <w:rFonts w:ascii="黑体" w:hAnsi="黑体" w:eastAsia="黑体" w:cs="Arial"/>
          <w:color w:val="000000"/>
          <w:sz w:val="28"/>
          <w:szCs w:val="28"/>
        </w:rPr>
        <w:drawing>
          <wp:anchor distT="0" distB="0" distL="114300" distR="114300" simplePos="0" relativeHeight="251659264" behindDoc="0" locked="0" layoutInCell="1" allowOverlap="1">
            <wp:simplePos x="0" y="0"/>
            <wp:positionH relativeFrom="column">
              <wp:posOffset>5475605</wp:posOffset>
            </wp:positionH>
            <wp:positionV relativeFrom="paragraph">
              <wp:posOffset>-120015</wp:posOffset>
            </wp:positionV>
            <wp:extent cx="720090" cy="72009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rFonts w:ascii="黑体" w:hAnsi="黑体" w:eastAsia="黑体" w:cs="Arial"/>
          <w:color w:val="000000"/>
          <w:sz w:val="28"/>
          <w:szCs w:val="28"/>
        </w:rPr>
        <w:pict>
          <v:shape id="Text Box 359" o:spid="_x0000_s1436" o:spt="202" type="#_x0000_t202" style="position:absolute;left:0pt;margin-left:370.75pt;margin-top:24.65pt;height:22.8pt;width:204.1pt;mso-position-horizontal-relative:page;mso-position-vertical-relative:page;z-index:251664384;mso-width-relative:margin;mso-height-relative:margin;" stroked="f" coordsize="21600,21600">
            <v:path/>
            <v:fill focussize="0,0"/>
            <v:stroke on="f" joinstyle="miter"/>
            <v:imagedata o:title=""/>
            <o:lock v:ext="edit"/>
            <v:textbox>
              <w:txbxContent>
                <w:p>
                  <w:pPr>
                    <w:jc w:val="right"/>
                  </w:pPr>
                  <w:r>
                    <w:rPr>
                      <w:rFonts w:hint="eastAsia" w:ascii="仿宋_GB2312" w:hAnsi="宋体" w:eastAsia="仿宋_GB2312"/>
                    </w:rPr>
                    <w:t>泰康人寿[20</w:t>
                  </w:r>
                  <w:r>
                    <w:rPr>
                      <w:rFonts w:ascii="仿宋_GB2312" w:hAnsi="宋体" w:eastAsia="仿宋_GB2312"/>
                    </w:rPr>
                    <w:t>25</w:t>
                  </w:r>
                  <w:r>
                    <w:rPr>
                      <w:rFonts w:hint="eastAsia" w:ascii="仿宋_GB2312" w:hAnsi="宋体" w:eastAsia="仿宋_GB2312"/>
                    </w:rPr>
                    <w:t>]养老年金保险</w:t>
                  </w:r>
                  <w:r>
                    <w:rPr>
                      <w:rFonts w:ascii="仿宋_GB2312" w:hAnsi="宋体" w:eastAsia="仿宋_GB2312"/>
                    </w:rPr>
                    <w:t>052</w:t>
                  </w:r>
                  <w:r>
                    <w:rPr>
                      <w:rFonts w:hint="eastAsia" w:ascii="仿宋_GB2312" w:hAnsi="宋体" w:eastAsia="仿宋_GB2312"/>
                    </w:rPr>
                    <w:t>号</w:t>
                  </w:r>
                </w:p>
              </w:txbxContent>
            </v:textbox>
          </v:shape>
        </w:pict>
      </w:r>
    </w:p>
    <w:bookmarkEnd w:id="0"/>
    <w:p>
      <w:pPr>
        <w:jc w:val="center"/>
        <w:rPr>
          <w:rFonts w:ascii="华文中宋" w:eastAsia="华文中宋"/>
          <w:b/>
          <w:sz w:val="32"/>
        </w:rPr>
      </w:pPr>
      <w:r>
        <w:rPr>
          <w:rFonts w:ascii="华文中宋" w:eastAsia="华文中宋"/>
          <w:b/>
          <w:sz w:val="28"/>
        </w:rPr>
        <w:pict>
          <v:shape id="Text Box 360" o:spid="_x0000_s1437" o:spt="202" type="#_x0000_t202" style="position:absolute;left:0pt;margin-left:370.75pt;margin-top:103.75pt;height:22.7pt;width:204.1pt;mso-position-horizontal-relative:page;mso-position-vertical-relative:page;z-index:251665408;mso-width-relative:margin;mso-height-relative:margin;" stroked="f" coordsize="21600,21600">
            <v:path/>
            <v:fill focussize="0,0"/>
            <v:stroke on="f" joinstyle="miter"/>
            <v:imagedata o:title=""/>
            <o:lock v:ext="edit"/>
            <v:textbox>
              <w:txbxContent>
                <w:p>
                  <w:pPr>
                    <w:jc w:val="right"/>
                    <w:rPr>
                      <w:rFonts w:ascii="仿宋_GB2312" w:hAnsi="宋体" w:eastAsia="仿宋_GB2312"/>
                      <w:szCs w:val="21"/>
                    </w:rPr>
                  </w:pPr>
                  <w:r>
                    <w:rPr>
                      <w:rFonts w:hint="eastAsia" w:ascii="仿宋_GB2312" w:hAnsi="宋体" w:eastAsia="仿宋_GB2312"/>
                      <w:szCs w:val="21"/>
                    </w:rPr>
                    <w:t>请扫描以查询验证条款</w:t>
                  </w:r>
                </w:p>
              </w:txbxContent>
            </v:textbox>
          </v:shape>
        </w:pict>
      </w:r>
      <w:r>
        <w:rPr>
          <w:rFonts w:hint="eastAsia" w:ascii="华文中宋" w:eastAsia="华文中宋"/>
          <w:b/>
          <w:sz w:val="28"/>
        </w:rPr>
        <w:t>泰康颐瑞</w:t>
      </w:r>
      <w:r>
        <w:rPr>
          <w:rFonts w:ascii="华文中宋" w:eastAsia="华文中宋"/>
          <w:b/>
          <w:sz w:val="28"/>
        </w:rPr>
        <w:t>2</w:t>
      </w:r>
      <w:r>
        <w:rPr>
          <w:rFonts w:hint="eastAsia" w:ascii="华文中宋" w:eastAsia="华文中宋"/>
          <w:b/>
          <w:sz w:val="28"/>
        </w:rPr>
        <w:t>号养老年金保险（万能型）条款</w:t>
      </w:r>
    </w:p>
    <w:p>
      <w:pPr>
        <w:widowControl/>
        <w:jc w:val="center"/>
        <w:rPr>
          <w:rFonts w:ascii="华文中宋" w:eastAsia="华文中宋"/>
          <w:b/>
          <w:sz w:val="28"/>
        </w:rPr>
      </w:pPr>
      <w:r>
        <w:rPr>
          <w:rFonts w:hint="eastAsia" w:ascii="华文中宋" w:eastAsia="华文中宋"/>
          <w:b/>
          <w:sz w:val="28"/>
        </w:rPr>
        <w:t>阅读指引</w:t>
      </w:r>
    </w:p>
    <w:p>
      <w:pPr>
        <w:widowControl/>
        <w:rPr>
          <w:rFonts w:ascii="华文中宋" w:eastAsia="华文中宋"/>
          <w:b/>
          <w:sz w:val="15"/>
          <w:szCs w:val="15"/>
        </w:rPr>
      </w:pPr>
      <w:r>
        <w:rPr>
          <w:rFonts w:ascii="华文中宋" w:eastAsia="华文中宋"/>
          <w:b/>
          <w:sz w:val="15"/>
          <w:szCs w:val="15"/>
        </w:rPr>
        <w:pict>
          <v:shape id="_x0000_s1397" o:spid="_x0000_s1397" o:spt="202" type="#_x0000_t202" style="position:absolute;left:0pt;margin-left:-3.5pt;margin-top:14.65pt;height:23.5pt;width:488.5pt;z-index:25166131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8" o:spid="_x0000_s1398" o:spt="202" type="#_x0000_t202" style="position:absolute;left:0pt;margin-left:-4.9pt;margin-top:5.75pt;height:34.4pt;width:146.6pt;z-index:251662336;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1</w:t>
                  </w:r>
                  <w:r>
                    <w:rPr>
                      <w:rFonts w:hint="eastAsia" w:ascii="宋体" w:hAnsi="宋体"/>
                      <w:b/>
                      <w:sz w:val="28"/>
                      <w:szCs w:val="28"/>
                    </w:rPr>
                    <w:t>我们的保障</w:t>
                  </w:r>
                </w:p>
              </w:txbxContent>
            </v:textbox>
          </v:shape>
        </w:pict>
      </w:r>
    </w:p>
    <w:tbl>
      <w:tblPr>
        <w:tblStyle w:val="10"/>
        <w:tblW w:w="98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1"/>
        <w:gridCol w:w="9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宋体" w:hAnsi="宋体"/>
                <w:position w:val="-12"/>
                <w:szCs w:val="21"/>
              </w:rPr>
            </w:pPr>
            <w:r>
              <w:rPr>
                <w:rFonts w:ascii="Wingdings" w:hAnsi="Wingdings"/>
                <w:position w:val="-10"/>
              </w:rPr>
              <w:t></w:t>
            </w:r>
            <w:r>
              <w:rPr>
                <w:rFonts w:hint="eastAsia" w:ascii="宋体" w:hAnsi="宋体"/>
                <w:position w:val="-12"/>
                <w:szCs w:val="21"/>
              </w:rPr>
              <w:t>泰康颐瑞2号养老年金保险（万能型）（以下简称“颐瑞2号”）为万能险。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ind w:left="420" w:hanging="420" w:hangingChars="200"/>
              <w:rPr>
                <w:rFonts w:ascii="宋体" w:hAnsi="宋体"/>
                <w:position w:val="-12"/>
                <w:szCs w:val="21"/>
              </w:rPr>
            </w:pPr>
            <w:r>
              <w:rPr>
                <w:rFonts w:ascii="Wingdings" w:hAnsi="Wingdings"/>
                <w:position w:val="-10"/>
              </w:rPr>
              <w:t>本产品提供生存、身故保障，同时提供最低保证利率，保单账户价值按不低于最低保证利率的结算利率累积。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tcPr>
          <w:p>
            <w:pPr>
              <w:widowControl/>
              <w:jc w:val="left"/>
              <w:rPr>
                <w:rFonts w:ascii="Arial" w:hAnsi="Arial" w:eastAsia="华文中宋"/>
                <w:b/>
                <w:kern w:val="0"/>
                <w:sz w:val="32"/>
                <w:szCs w:val="28"/>
              </w:rPr>
            </w:pPr>
            <w:r>
              <w:rPr>
                <w:rFonts w:ascii="Arial" w:hAnsi="Arial" w:eastAsia="华文中宋"/>
                <w:b/>
                <w:kern w:val="0"/>
                <w:sz w:val="32"/>
                <w:szCs w:val="28"/>
              </w:rPr>
              <w:pict>
                <v:shape id="_x0000_s1428" o:spid="_x0000_s1428" o:spt="202" type="#_x0000_t202" style="position:absolute;left:0pt;margin-left:-4.9pt;margin-top:2.45pt;height:34.4pt;width:149pt;z-index:251663360;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2</w:t>
                        </w:r>
                        <w:r>
                          <w:rPr>
                            <w:rFonts w:hint="eastAsia" w:ascii="宋体" w:hAnsi="宋体"/>
                            <w:b/>
                            <w:sz w:val="28"/>
                            <w:szCs w:val="28"/>
                          </w:rPr>
                          <w:t>名词解释</w:t>
                        </w:r>
                      </w:p>
                    </w:txbxContent>
                  </v:textbox>
                </v:shape>
              </w:pict>
            </w:r>
          </w:p>
        </w:tc>
        <w:tc>
          <w:tcPr>
            <w:tcW w:w="9498" w:type="dxa"/>
            <w:vAlign w:val="bottom"/>
          </w:tcPr>
          <w:p>
            <w:pPr>
              <w:widowControl/>
              <w:rPr>
                <w:rFonts w:ascii="Arial" w:hAnsi="Arial" w:eastAsia="华文中宋"/>
                <w:b/>
                <w:kern w:val="0"/>
                <w:sz w:val="32"/>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r>
              <w:rPr>
                <w:rFonts w:asciiTheme="minorEastAsia" w:hAnsiTheme="minorEastAsia" w:eastAsiaTheme="minorEastAsia"/>
                <w:b/>
                <w:position w:val="-12"/>
                <w:szCs w:val="21"/>
              </w:rPr>
              <w:pict>
                <v:shape id="_x0000_s1388" o:spid="_x0000_s1388" o:spt="202" type="#_x0000_t202" style="position:absolute;left:0pt;margin-left:-4.15pt;margin-top:-0.3pt;height:23.5pt;width:488.3pt;z-index:251660288;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投保人：</w:t>
            </w:r>
            <w:r>
              <w:rPr>
                <w:rFonts w:ascii="Wingdings" w:hAnsi="Wingdings"/>
              </w:rPr>
              <w:t>购买保险并支付保险费的人。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被保险人：</w:t>
            </w:r>
            <w:r>
              <w:rPr>
                <w:rFonts w:ascii="Wingdings" w:hAnsi="Wingdings"/>
              </w:rPr>
              <w:t>受保险合同保障的人。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养老保险金受益人：</w:t>
            </w:r>
            <w:r>
              <w:rPr>
                <w:rFonts w:hint="eastAsia" w:ascii="宋体" w:hAnsi="宋体"/>
              </w:rPr>
              <w:t>被保险人生存期间领取养老保险金的人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身故保险金受益人：</w:t>
            </w:r>
            <w:r>
              <w:rPr>
                <w:rFonts w:hint="eastAsia" w:ascii="宋体" w:hAnsi="宋体"/>
              </w:rPr>
              <w:t>被保险人身故后领取身故保险金的</w:t>
            </w:r>
            <w:r>
              <w:rPr>
                <w:rFonts w:ascii="宋体" w:hAnsi="宋体"/>
              </w:rPr>
              <w:t>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439" o:spid="_x0000_s1439" o:spt="202" type="#_x0000_t202" style="position:absolute;left:0pt;margin-left:-3.65pt;margin-top:7.85pt;height:23.5pt;width:488.7pt;z-index:25166643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440" o:spid="_x0000_s1440" o:spt="202" type="#_x0000_t202" style="position:absolute;left:0pt;margin-left:-4.9pt;margin-top:0.65pt;height:35.4pt;width:138.4pt;z-index:251667456;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32"/>
                          </w:rPr>
                          <w:t>3</w:t>
                        </w:r>
                        <w:r>
                          <w:rPr>
                            <w:rFonts w:hint="eastAsia" w:asciiTheme="majorEastAsia" w:hAnsiTheme="majorEastAsia" w:eastAsiaTheme="majorEastAsia"/>
                            <w:b/>
                            <w:sz w:val="28"/>
                            <w:szCs w:val="28"/>
                          </w:rPr>
                          <w:t>保单账户运作原理</w:t>
                        </w:r>
                      </w:p>
                    </w:txbxContent>
                  </v:textbox>
                </v:shape>
              </w:pict>
            </w:r>
          </w:p>
        </w:tc>
        <w:tc>
          <w:tcPr>
            <w:tcW w:w="9498" w:type="dxa"/>
            <w:vAlign w:val="bottom"/>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9889" w:type="dxa"/>
            <w:gridSpan w:val="2"/>
            <w:vAlign w:val="center"/>
          </w:tcPr>
          <w:p>
            <w:pPr>
              <w:widowControl/>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position w:val="-12"/>
                <w:szCs w:val="21"/>
              </w:rPr>
            </w:pPr>
            <w:r>
              <w:rPr>
                <w:rFonts w:hint="eastAsia" w:asciiTheme="minorEastAsia" w:hAnsiTheme="minorEastAsia" w:eastAsiaTheme="minorEastAsia"/>
                <w:position w:val="-12"/>
                <w:szCs w:val="21"/>
              </w:rPr>
              <w:t>保单账户价值随着扣除初始费用后的保险费、保单利息、持续奖金计入保单账户而增加；</w:t>
            </w:r>
            <w:r>
              <w:rPr>
                <w:rFonts w:hint="eastAsia" w:ascii="黑体" w:hAnsi="黑体" w:eastAsia="黑体"/>
                <w:position w:val="-12"/>
                <w:szCs w:val="21"/>
              </w:rPr>
              <w:t>随着养老保险金的领取、保单账户价值的部分领取而减少。</w:t>
            </w:r>
          </w:p>
          <w:p>
            <w:pPr>
              <w:widowControl/>
              <w:rPr>
                <w:rFonts w:asciiTheme="minorEastAsia" w:hAnsiTheme="minorEastAsia" w:eastAsiaTheme="minorEastAsia"/>
                <w:position w:val="-12"/>
                <w:sz w:val="10"/>
                <w:szCs w:val="10"/>
              </w:rPr>
            </w:pPr>
            <w:r>
              <w:rPr>
                <w:rFonts w:asciiTheme="minorEastAsia" w:hAnsiTheme="minorEastAsia" w:eastAsiaTheme="minorEastAsia"/>
                <w:position w:val="-12"/>
                <w:sz w:val="10"/>
                <w:szCs w:val="10"/>
              </w:rPr>
              <w:drawing>
                <wp:anchor distT="0" distB="0" distL="114300" distR="114300" simplePos="0" relativeHeight="251659264" behindDoc="1" locked="0" layoutInCell="1" allowOverlap="1">
                  <wp:simplePos x="0" y="0"/>
                  <wp:positionH relativeFrom="column">
                    <wp:posOffset>220980</wp:posOffset>
                  </wp:positionH>
                  <wp:positionV relativeFrom="paragraph">
                    <wp:posOffset>48260</wp:posOffset>
                  </wp:positionV>
                  <wp:extent cx="5661660" cy="4607560"/>
                  <wp:effectExtent l="0" t="0" r="0" b="0"/>
                  <wp:wrapTight wrapText="bothSides">
                    <wp:wrapPolygon>
                      <wp:start x="2471" y="0"/>
                      <wp:lineTo x="1962" y="1429"/>
                      <wp:lineTo x="1599" y="1875"/>
                      <wp:lineTo x="1308" y="2501"/>
                      <wp:lineTo x="1308" y="3215"/>
                      <wp:lineTo x="1962" y="4287"/>
                      <wp:lineTo x="2035" y="5716"/>
                      <wp:lineTo x="1599" y="6251"/>
                      <wp:lineTo x="1236" y="6877"/>
                      <wp:lineTo x="1236" y="7412"/>
                      <wp:lineTo x="1817" y="8573"/>
                      <wp:lineTo x="2180" y="10002"/>
                      <wp:lineTo x="1744" y="10270"/>
                      <wp:lineTo x="1163" y="11074"/>
                      <wp:lineTo x="1163" y="11610"/>
                      <wp:lineTo x="1672" y="12860"/>
                      <wp:lineTo x="1599" y="14289"/>
                      <wp:lineTo x="1308" y="14914"/>
                      <wp:lineTo x="1236" y="16700"/>
                      <wp:lineTo x="2980" y="17147"/>
                      <wp:lineTo x="6323" y="17147"/>
                      <wp:lineTo x="2398" y="17772"/>
                      <wp:lineTo x="1381" y="18040"/>
                      <wp:lineTo x="1308" y="18933"/>
                      <wp:lineTo x="1308" y="20719"/>
                      <wp:lineTo x="3125" y="21165"/>
                      <wp:lineTo x="6323" y="21344"/>
                      <wp:lineTo x="15480" y="21344"/>
                      <wp:lineTo x="15480" y="17147"/>
                      <wp:lineTo x="18751" y="17147"/>
                      <wp:lineTo x="20350" y="16700"/>
                      <wp:lineTo x="20205" y="14914"/>
                      <wp:lineTo x="19914" y="14289"/>
                      <wp:lineTo x="20713" y="14289"/>
                      <wp:lineTo x="21440" y="13574"/>
                      <wp:lineTo x="21513" y="12592"/>
                      <wp:lineTo x="15480" y="11431"/>
                      <wp:lineTo x="15480" y="10002"/>
                      <wp:lineTo x="15917" y="10002"/>
                      <wp:lineTo x="19769" y="8752"/>
                      <wp:lineTo x="19914" y="8573"/>
                      <wp:lineTo x="20277" y="7412"/>
                      <wp:lineTo x="20350" y="6073"/>
                      <wp:lineTo x="19114" y="5716"/>
                      <wp:lineTo x="15480" y="5716"/>
                      <wp:lineTo x="15553" y="1340"/>
                      <wp:lineTo x="4942" y="0"/>
                      <wp:lineTo x="2471"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661660" cy="4607560"/>
                          </a:xfrm>
                          <a:prstGeom prst="rect">
                            <a:avLst/>
                          </a:prstGeom>
                          <a:noFill/>
                        </pic:spPr>
                      </pic:pic>
                    </a:graphicData>
                  </a:graphic>
                </wp:anchor>
              </w:drawing>
            </w:r>
          </w:p>
          <w:p>
            <w:pPr>
              <w:widowControl/>
              <w:rPr>
                <w:rFonts w:asciiTheme="minorEastAsia" w:hAnsiTheme="minorEastAsia" w:eastAsiaTheme="minorEastAsia"/>
                <w:position w:val="-12"/>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b/>
              </w:rPr>
            </w:pPr>
            <w:r>
              <w:rPr>
                <w:rFonts w:hint="eastAsia" w:asciiTheme="minorEastAsia" w:hAnsiTheme="minorEastAsia" w:eastAsiaTheme="minorEastAsia"/>
                <w:b/>
              </w:rPr>
              <w:t>以上图例仅供您更好地理解产品之用，您所购买产品的具体保险利益、责任免除情形及费用收取标准在保险合同中载明。</w:t>
            </w:r>
          </w:p>
        </w:tc>
      </w:tr>
    </w:tbl>
    <w:p>
      <w:pPr>
        <w:jc w:val="center"/>
        <w:rPr>
          <w:rFonts w:ascii="Arial" w:hAnsi="Arial" w:eastAsia="华文中宋"/>
          <w:b/>
          <w:kern w:val="0"/>
          <w:sz w:val="32"/>
          <w:szCs w:val="28"/>
        </w:rPr>
      </w:pPr>
      <w:r>
        <w:rPr>
          <w:rFonts w:ascii="Arial" w:hAnsi="Arial" w:eastAsia="华文中宋"/>
          <w:b/>
          <w:kern w:val="0"/>
          <w:sz w:val="32"/>
          <w:szCs w:val="28"/>
        </w:rPr>
        <w:br w:type="page"/>
      </w:r>
      <w:r>
        <w:rPr>
          <w:rFonts w:hint="eastAsia" w:ascii="Arial" w:hAnsi="Arial" w:eastAsia="华文中宋"/>
          <w:b/>
          <w:kern w:val="0"/>
          <w:sz w:val="32"/>
          <w:szCs w:val="28"/>
        </w:rPr>
        <w:t>条款目录</w:t>
      </w:r>
    </w:p>
    <w:p>
      <w:pPr>
        <w:ind w:firstLine="1471" w:firstLineChars="700"/>
        <w:rPr>
          <w:rFonts w:ascii="宋体" w:hAnsi="宋体"/>
          <w:b/>
          <w:bCs/>
        </w:rPr>
      </w:pPr>
    </w:p>
    <w:p>
      <w:pPr>
        <w:rPr>
          <w:rFonts w:ascii="宋体" w:hAnsi="宋体"/>
        </w:rPr>
      </w:pPr>
    </w:p>
    <w:tbl>
      <w:tblPr>
        <w:tblStyle w:val="9"/>
        <w:tblW w:w="9923" w:type="dxa"/>
        <w:tblInd w:w="-34"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307"/>
        <w:gridCol w:w="3308"/>
        <w:gridCol w:w="330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307" w:type="dxa"/>
            <w:tcBorders>
              <w:right w:val="single" w:color="auto" w:sz="4" w:space="0"/>
            </w:tcBorders>
          </w:tcPr>
          <w:p>
            <w:pPr>
              <w:rPr>
                <w:rFonts w:ascii="宋体" w:hAnsi="宋体"/>
                <w:b/>
                <w:sz w:val="24"/>
              </w:rPr>
            </w:pPr>
            <w:r>
              <w:rPr>
                <w:rFonts w:hint="eastAsia" w:ascii="宋体" w:hAnsi="宋体"/>
                <w:b/>
              </w:rPr>
              <w:t>1.我们保多久、</w:t>
            </w:r>
            <w:r>
              <w:rPr>
                <w:rFonts w:ascii="宋体" w:hAnsi="宋体"/>
                <w:b/>
              </w:rPr>
              <w:t>保</w:t>
            </w:r>
            <w:r>
              <w:rPr>
                <w:rFonts w:hint="eastAsia" w:ascii="宋体" w:hAnsi="宋体"/>
                <w:b/>
              </w:rPr>
              <w:t>什么</w:t>
            </w:r>
          </w:p>
        </w:tc>
        <w:tc>
          <w:tcPr>
            <w:tcW w:w="3308" w:type="dxa"/>
            <w:tcBorders>
              <w:left w:val="single" w:color="auto" w:sz="4" w:space="0"/>
              <w:right w:val="single" w:color="auto" w:sz="4" w:space="0"/>
            </w:tcBorders>
          </w:tcPr>
          <w:p>
            <w:pPr>
              <w:pStyle w:val="17"/>
              <w:ind w:firstLine="0" w:firstLineChars="0"/>
              <w:rPr>
                <w:rFonts w:ascii="宋体" w:hAnsi="宋体"/>
                <w:b/>
              </w:rPr>
            </w:pPr>
            <w:r>
              <w:rPr>
                <w:rFonts w:hint="eastAsia" w:ascii="宋体" w:hAnsi="宋体"/>
                <w:b/>
              </w:rPr>
              <w:t>4.保单账户的运作管理</w:t>
            </w:r>
          </w:p>
        </w:tc>
        <w:tc>
          <w:tcPr>
            <w:tcW w:w="3308" w:type="dxa"/>
            <w:tcBorders>
              <w:left w:val="single" w:color="auto" w:sz="4" w:space="0"/>
            </w:tcBorders>
          </w:tcPr>
          <w:p>
            <w:pPr>
              <w:rPr>
                <w:rFonts w:ascii="仿宋_GB2312" w:hAnsi="宋体" w:eastAsia="仿宋_GB2312"/>
              </w:rPr>
            </w:pPr>
            <w:r>
              <w:rPr>
                <w:rFonts w:hint="eastAsia" w:ascii="宋体" w:hAnsi="宋体"/>
                <w:b/>
              </w:rPr>
              <w:t>7.合同的构成与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1.1 保险期间</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4.1 保单账户与保单账户价值</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1.2 保险责任</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4.2 保单账户结算</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7.2 合同成立与生效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4.3 持续奖金</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4</w:t>
            </w:r>
            <w:r>
              <w:rPr>
                <w:rFonts w:hint="eastAsia" w:ascii="宋体" w:hAnsi="宋体"/>
              </w:rPr>
              <w:t xml:space="preserve"> 费用收取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5</w:t>
            </w:r>
            <w:r>
              <w:rPr>
                <w:rFonts w:hint="eastAsia" w:ascii="宋体" w:hAnsi="宋体"/>
              </w:rPr>
              <w:t xml:space="preserve"> 保单账户价值的部分领取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w:t>
            </w:r>
            <w:r>
              <w:rPr>
                <w:rFonts w:ascii="宋体" w:hAnsi="宋体"/>
              </w:rPr>
              <w:t>6</w:t>
            </w:r>
            <w:r>
              <w:rPr>
                <w:rFonts w:hint="eastAsia" w:ascii="宋体" w:hAnsi="宋体"/>
              </w:rPr>
              <w:t xml:space="preserve"> 现金价值</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r>
              <w:rPr>
                <w:rFonts w:hint="eastAsia" w:ascii="宋体" w:hAnsi="宋体"/>
              </w:rPr>
              <w:t>4.</w:t>
            </w:r>
            <w:r>
              <w:rPr>
                <w:rFonts w:ascii="宋体" w:hAnsi="宋体"/>
              </w:rPr>
              <w:t>7</w:t>
            </w:r>
            <w:r>
              <w:rPr>
                <w:rFonts w:hint="eastAsia" w:ascii="宋体" w:hAnsi="宋体"/>
              </w:rPr>
              <w:t xml:space="preserve"> 保单贷款</w:t>
            </w: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b/>
                <w:u w:val="single"/>
              </w:rPr>
            </w:pPr>
            <w:r>
              <w:rPr>
                <w:rFonts w:ascii="宋体" w:hAnsi="宋体"/>
                <w:b/>
              </w:rPr>
              <w:t>2</w:t>
            </w:r>
            <w:r>
              <w:rPr>
                <w:rFonts w:hint="eastAsia" w:ascii="宋体" w:hAnsi="宋体"/>
                <w:b/>
              </w:rPr>
              <w:t>.什么情况我们不赔</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5.</w:t>
            </w:r>
            <w:r>
              <w:rPr>
                <w:rFonts w:ascii="宋体" w:hAnsi="宋体"/>
                <w:b/>
              </w:rPr>
              <w:t>如何领取保险金</w:t>
            </w:r>
          </w:p>
        </w:tc>
        <w:tc>
          <w:tcPr>
            <w:tcW w:w="3308" w:type="dxa"/>
            <w:tcBorders>
              <w:left w:val="single" w:color="auto" w:sz="4" w:space="0"/>
            </w:tcBorders>
          </w:tcPr>
          <w:p>
            <w:pPr>
              <w:rPr>
                <w:rFonts w:ascii="仿宋_GB2312" w:hAnsi="宋体" w:eastAsia="仿宋_GB2312"/>
              </w:rPr>
            </w:pPr>
            <w:r>
              <w:rPr>
                <w:rFonts w:hint="eastAsia" w:ascii="宋体" w:hAnsi="宋体"/>
                <w:b/>
              </w:rPr>
              <w:t>8.需关注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2.1 责任免除</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5.1 受益人</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8.1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 xml:space="preserve"> </w:t>
            </w:r>
            <w:r>
              <w:rPr>
                <w:rFonts w:asciiTheme="minorEastAsia" w:hAnsiTheme="minorEastAsia" w:eastAsiaTheme="minorEastAsia"/>
              </w:rPr>
              <w:t xml:space="preserve">2.2 </w:t>
            </w:r>
            <w:r>
              <w:rPr>
                <w:rFonts w:hint="eastAsia" w:asciiTheme="minorEastAsia" w:hAnsiTheme="minorEastAsia" w:eastAsiaTheme="minorEastAsia"/>
              </w:rPr>
              <w:t>其他免责条款</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5.2 保险事故通知</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 xml:space="preserve">2 </w:t>
            </w:r>
            <w:r>
              <w:rPr>
                <w:rFonts w:hint="eastAsia" w:asciiTheme="minorEastAsia" w:hAnsiTheme="minorEastAsia" w:eastAsiaTheme="minorEastAsia"/>
              </w:rPr>
              <w:t>本公司合同解除权的限制</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5.3 保险金申请</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3</w:t>
            </w:r>
            <w:r>
              <w:rPr>
                <w:rFonts w:hint="eastAsia" w:asciiTheme="minorEastAsia" w:hAnsiTheme="minorEastAsia" w:eastAsiaTheme="minorEastAsia"/>
              </w:rPr>
              <w:t xml:space="preserve"> 投保范围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5.4 保险金给付</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4</w:t>
            </w:r>
            <w:r>
              <w:rPr>
                <w:rFonts w:hint="eastAsia" w:asciiTheme="minorEastAsia" w:hAnsiTheme="minorEastAsia" w:eastAsiaTheme="minorEastAsia"/>
              </w:rPr>
              <w:t xml:space="preserve"> 年龄性别错误的处理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w:t>
            </w:r>
            <w:r>
              <w:rPr>
                <w:rFonts w:asciiTheme="minorEastAsia" w:hAnsiTheme="minorEastAsia" w:eastAsiaTheme="minorEastAsia"/>
              </w:rPr>
              <w:t xml:space="preserve">.5 </w:t>
            </w:r>
            <w:r>
              <w:rPr>
                <w:rFonts w:hint="eastAsia" w:asciiTheme="minorEastAsia" w:hAnsiTheme="minorEastAsia" w:eastAsiaTheme="minorEastAsia"/>
              </w:rPr>
              <w:t>宣告死亡处理</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5</w:t>
            </w:r>
            <w:r>
              <w:rPr>
                <w:rFonts w:hint="eastAsia" w:asciiTheme="minorEastAsia" w:hAnsiTheme="minorEastAsia" w:eastAsiaTheme="minorEastAsia"/>
              </w:rPr>
              <w:t xml:space="preserve"> 特别约定</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8.6 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8.7 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8.8</w:t>
            </w:r>
            <w:r>
              <w:rPr>
                <w:rFonts w:ascii="宋体" w:hAnsi="宋体"/>
              </w:rPr>
              <w:t xml:space="preserve"> </w:t>
            </w:r>
            <w:r>
              <w:rPr>
                <w:rFonts w:hint="eastAsia" w:ascii="宋体" w:hAnsi="宋体"/>
              </w:rPr>
              <w:t>联系方式变更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ind w:firstLine="210" w:firstLineChars="100"/>
              <w:rPr>
                <w:rFonts w:ascii="仿宋_GB2312" w:hAnsi="宋体" w:eastAsia="仿宋_GB2312"/>
              </w:rPr>
            </w:pPr>
            <w:r>
              <w:rPr>
                <w:rFonts w:hint="eastAsia" w:ascii="宋体" w:hAnsi="宋体"/>
              </w:rPr>
              <w:t>8.9 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pStyle w:val="17"/>
              <w:ind w:firstLine="0" w:firstLineChars="0"/>
              <w:rPr>
                <w:rFonts w:ascii="宋体" w:hAnsi="宋体"/>
                <w:b/>
              </w:rPr>
            </w:pPr>
            <w:r>
              <w:rPr>
                <w:rFonts w:hint="eastAsia" w:ascii="宋体" w:hAnsi="宋体"/>
                <w:b/>
              </w:rPr>
              <w:t>3.如何支付保险费</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6.</w:t>
            </w:r>
            <w:r>
              <w:rPr>
                <w:rFonts w:ascii="宋体" w:hAnsi="宋体"/>
                <w:b/>
              </w:rPr>
              <w:t>如何退保</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3.1 保险费的支付</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6.1 犹豫期</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w:t>
            </w:r>
            <w:r>
              <w:rPr>
                <w:rFonts w:ascii="宋体" w:hAnsi="宋体"/>
              </w:rPr>
              <w:t>2</w:t>
            </w:r>
            <w:r>
              <w:rPr>
                <w:rFonts w:hint="eastAsia" w:ascii="宋体" w:hAnsi="宋体"/>
              </w:rPr>
              <w:t xml:space="preserve"> 效力中止与恢复</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6.2 您解除合同的手续及风险</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180" w:firstLineChars="100"/>
              <w:rPr>
                <w:rFonts w:ascii="宋体" w:hAnsi="宋体"/>
                <w:sz w:val="18"/>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宋体" w:hAnsi="宋体"/>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b/>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rPr>
            </w:pPr>
          </w:p>
        </w:tc>
        <w:tc>
          <w:tcPr>
            <w:tcW w:w="3308" w:type="dxa"/>
            <w:tcBorders>
              <w:left w:val="nil"/>
              <w:bottom w:val="nil"/>
              <w:right w:val="nil"/>
            </w:tcBorders>
          </w:tcPr>
          <w:p>
            <w:pPr>
              <w:rPr>
                <w:rFonts w:asciiTheme="minorEastAsia" w:hAnsiTheme="minorEastAsia" w:eastAsiaTheme="minorEastAsia"/>
              </w:rPr>
            </w:pPr>
          </w:p>
        </w:tc>
        <w:tc>
          <w:tcPr>
            <w:tcW w:w="3308" w:type="dxa"/>
            <w:tcBorders>
              <w:left w:val="nil"/>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泰康颐瑞2号养老年金保险（万能型）</w:t>
      </w:r>
      <w:r>
        <w:rPr>
          <w:rFonts w:ascii="华文中宋" w:hAnsi="华文中宋" w:eastAsia="华文中宋"/>
          <w:b/>
          <w:sz w:val="32"/>
        </w:rPr>
        <w:t>条款</w:t>
      </w:r>
    </w:p>
    <w:p>
      <w:pPr>
        <w:jc w:val="center"/>
        <w:rPr>
          <w:rFonts w:ascii="华文中宋" w:hAnsi="华文中宋" w:eastAsia="华文中宋"/>
          <w:b/>
          <w:szCs w:val="21"/>
        </w:rPr>
      </w:pPr>
    </w:p>
    <w:p>
      <w:pPr>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泰康颐瑞2号养老年金保险（万能型）保险</w:t>
      </w:r>
      <w:r>
        <w:rPr>
          <w:rFonts w:ascii="宋体" w:hAnsi="宋体"/>
        </w:rPr>
        <w:t>合同”</w:t>
      </w:r>
      <w:r>
        <w:rPr>
          <w:rFonts w:hint="eastAsia" w:ascii="宋体" w:hAnsi="宋体"/>
        </w:rPr>
        <w:t>，“被保险人”指本合同的被保险人，投保人、被保险人的姓名在保险单上载明。</w:t>
      </w:r>
    </w:p>
    <w:p>
      <w:pPr>
        <w:rPr>
          <w:rFonts w:ascii="宋体" w:hAnsi="宋体"/>
        </w:rPr>
      </w:pPr>
    </w:p>
    <w:tbl>
      <w:tblPr>
        <w:tblStyle w:val="9"/>
        <w:tblW w:w="0" w:type="auto"/>
        <w:tblInd w:w="-5" w:type="dxa"/>
        <w:tblLayout w:type="fixed"/>
        <w:tblCellMar>
          <w:top w:w="0" w:type="dxa"/>
          <w:left w:w="108" w:type="dxa"/>
          <w:bottom w:w="0" w:type="dxa"/>
          <w:right w:w="108" w:type="dxa"/>
        </w:tblCellMar>
      </w:tblPr>
      <w:tblGrid>
        <w:gridCol w:w="668"/>
        <w:gridCol w:w="1555"/>
        <w:gridCol w:w="7591"/>
      </w:tblGrid>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w:t>
            </w:r>
            <w:r>
              <w:rPr>
                <w:rFonts w:hint="eastAsia" w:ascii="宋体" w:hAnsi="宋体"/>
                <w:b/>
              </w:rPr>
              <w:t>1</w:t>
            </w:r>
          </w:p>
        </w:tc>
        <w:tc>
          <w:tcPr>
            <w:tcW w:w="1555" w:type="dxa"/>
          </w:tcPr>
          <w:p>
            <w:pPr>
              <w:spacing w:before="78" w:beforeLines="25"/>
              <w:jc w:val="left"/>
              <w:rPr>
                <w:rFonts w:ascii="宋体" w:hAnsi="宋体"/>
                <w:b/>
              </w:rPr>
            </w:pPr>
            <w:r>
              <w:rPr>
                <w:rFonts w:hint="eastAsia" w:ascii="宋体" w:hAnsi="宋体"/>
                <w:b/>
              </w:rPr>
              <w:t>保险期间</w:t>
            </w:r>
          </w:p>
        </w:tc>
        <w:tc>
          <w:tcPr>
            <w:tcW w:w="7591" w:type="dxa"/>
          </w:tcPr>
          <w:p>
            <w:pPr>
              <w:spacing w:before="78" w:beforeLines="25"/>
              <w:rPr>
                <w:rFonts w:ascii="宋体" w:hAnsi="宋体"/>
              </w:rPr>
            </w:pPr>
            <w:r>
              <w:rPr>
                <w:rFonts w:ascii="宋体" w:hAnsi="宋体"/>
              </w:rPr>
              <w:t>本合同的保险期间为被保险人终身，</w:t>
            </w:r>
            <w:r>
              <w:rPr>
                <w:rFonts w:hint="eastAsia" w:ascii="宋体" w:hAnsi="宋体"/>
              </w:rPr>
              <w:t>自本合同生效日零时起至被保险人身故时止，保险期间在保险单上载明。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jc w:val="left"/>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2</w:t>
            </w:r>
          </w:p>
        </w:tc>
        <w:tc>
          <w:tcPr>
            <w:tcW w:w="1555" w:type="dxa"/>
          </w:tcPr>
          <w:p>
            <w:pPr>
              <w:spacing w:before="78" w:beforeLines="25"/>
              <w:ind w:right="-724" w:rightChars="-345"/>
              <w:jc w:val="left"/>
              <w:rPr>
                <w:rFonts w:ascii="宋体" w:hAnsi="宋体"/>
                <w:b/>
              </w:rPr>
            </w:pPr>
            <w:r>
              <w:rPr>
                <w:rFonts w:hint="eastAsia" w:ascii="宋体" w:hAnsi="宋体"/>
                <w:b/>
              </w:rPr>
              <w:t>保险责任</w:t>
            </w:r>
          </w:p>
        </w:tc>
        <w:tc>
          <w:tcPr>
            <w:tcW w:w="7591" w:type="dxa"/>
          </w:tcPr>
          <w:p>
            <w:pPr>
              <w:spacing w:before="78" w:beforeLines="25"/>
              <w:rPr>
                <w:rFonts w:ascii="宋体" w:hAnsi="宋体"/>
              </w:rPr>
            </w:pPr>
            <w:r>
              <w:rPr>
                <w:rFonts w:hint="eastAsia" w:ascii="宋体" w:hAnsi="宋体"/>
              </w:rPr>
              <w:t>在本合同保险期间内，我们承担下列保险责任：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养老保险金</w:t>
            </w:r>
          </w:p>
        </w:tc>
        <w:tc>
          <w:tcPr>
            <w:tcW w:w="7591" w:type="dxa"/>
          </w:tcPr>
          <w:p>
            <w:pPr>
              <w:spacing w:before="78" w:beforeLines="25"/>
              <w:rPr>
                <w:rFonts w:ascii="宋体" w:hAnsi="宋体"/>
              </w:rPr>
            </w:pPr>
            <w:r>
              <w:rPr>
                <w:rFonts w:hint="eastAsia" w:ascii="宋体" w:hAnsi="宋体"/>
              </w:rPr>
              <w:t>本合同养老保险金的领取年龄、领取方式和领取比例由您在投保时与我们约定，并在保险单上载明。</w:t>
            </w:r>
            <w:r>
              <w:rPr>
                <w:rFonts w:hint="eastAsia" w:ascii="黑体" w:hAnsi="黑体" w:eastAsia="黑体"/>
              </w:rPr>
              <w:t>男性被保险人的养老保险金领取年龄不得早于</w:t>
            </w:r>
            <w:r>
              <w:rPr>
                <w:rFonts w:ascii="黑体" w:hAnsi="黑体" w:eastAsia="黑体"/>
              </w:rPr>
              <w:t>60</w:t>
            </w:r>
            <w:r>
              <w:rPr>
                <w:rFonts w:hint="eastAsia" w:ascii="黑体" w:hAnsi="黑体" w:eastAsia="黑体"/>
                <w:b/>
              </w:rPr>
              <w:t>周岁</w:t>
            </w:r>
            <w:r>
              <w:rPr>
                <w:rStyle w:val="14"/>
                <w:rFonts w:ascii="黑体" w:hAnsi="黑体" w:eastAsia="黑体"/>
                <w:b/>
              </w:rPr>
              <w:footnoteReference w:id="0"/>
            </w:r>
            <w:r>
              <w:rPr>
                <w:rFonts w:hint="eastAsia" w:ascii="黑体" w:hAnsi="黑体" w:eastAsia="黑体"/>
              </w:rPr>
              <w:t>；女性被保险人的养老保险金领取年龄不得早于</w:t>
            </w:r>
            <w:r>
              <w:rPr>
                <w:rFonts w:ascii="黑体" w:hAnsi="黑体" w:eastAsia="黑体"/>
              </w:rPr>
              <w:t>55</w:t>
            </w:r>
            <w:r>
              <w:rPr>
                <w:rFonts w:hint="eastAsia" w:ascii="黑体" w:hAnsi="黑体" w:eastAsia="黑体"/>
              </w:rPr>
              <w:t>周岁。</w:t>
            </w:r>
            <w:r>
              <w:rPr>
                <w:rFonts w:hint="eastAsia" w:ascii="宋体" w:hAnsi="宋体"/>
              </w:rPr>
              <w:t>在养老保险金受益人开始领取养老保险金之前，您可以申请变更养老保险金的领取年龄、领取方式和领取比例。</w:t>
            </w:r>
          </w:p>
          <w:p>
            <w:pPr>
              <w:spacing w:before="78" w:beforeLines="25"/>
              <w:rPr>
                <w:rFonts w:ascii="宋体" w:hAnsi="宋体"/>
              </w:rPr>
            </w:pPr>
            <w:r>
              <w:rPr>
                <w:rFonts w:hint="eastAsia" w:ascii="宋体" w:hAnsi="宋体"/>
              </w:rPr>
              <w:t>在本合同有效期内，自约定的养老保险金领取年龄后的首个本合同的</w:t>
            </w:r>
            <w:r>
              <w:rPr>
                <w:rFonts w:hint="eastAsia" w:ascii="宋体" w:hAnsi="宋体"/>
                <w:b/>
                <w:szCs w:val="21"/>
              </w:rPr>
              <w:t>年</w:t>
            </w:r>
            <w:r>
              <w:rPr>
                <w:rFonts w:hint="eastAsia" w:ascii="宋体" w:hAnsi="宋体"/>
                <w:b/>
              </w:rPr>
              <w:t>生效对应日</w:t>
            </w:r>
            <w:r>
              <w:rPr>
                <w:rStyle w:val="14"/>
                <w:rFonts w:ascii="宋体" w:hAnsi="宋体"/>
                <w:b/>
              </w:rPr>
              <w:footnoteReference w:id="1"/>
            </w:r>
            <w:r>
              <w:rPr>
                <w:rFonts w:hint="eastAsia" w:ascii="宋体" w:hAnsi="宋体"/>
              </w:rPr>
              <w:t>（含该日）起，若被保险人在每一个本合同的年生效对应日（或</w:t>
            </w:r>
            <w:r>
              <w:rPr>
                <w:rFonts w:hint="eastAsia" w:ascii="宋体" w:hAnsi="宋体"/>
                <w:b/>
              </w:rPr>
              <w:t>月生效对应日</w:t>
            </w:r>
            <w:r>
              <w:rPr>
                <w:rStyle w:val="14"/>
                <w:rFonts w:ascii="宋体" w:hAnsi="宋体"/>
                <w:b/>
              </w:rPr>
              <w:footnoteReference w:id="2"/>
            </w:r>
            <w:r>
              <w:rPr>
                <w:rFonts w:hint="eastAsia" w:ascii="宋体" w:hAnsi="宋体"/>
              </w:rPr>
              <w:t>）生存，我们按当时本合同的保单账户价值乘以约定的领取比例向养老保险金受益人给付养老保险金，给付后本合同的保单账户价值等额减少。</w:t>
            </w:r>
          </w:p>
          <w:p>
            <w:pPr>
              <w:spacing w:before="78" w:beforeLines="25"/>
              <w:rPr>
                <w:rFonts w:ascii="宋体" w:hAnsi="宋体"/>
              </w:rPr>
            </w:pPr>
            <w:r>
              <w:rPr>
                <w:rFonts w:hint="eastAsia" w:ascii="宋体" w:hAnsi="宋体"/>
              </w:rPr>
              <w:t>每个</w:t>
            </w:r>
            <w:r>
              <w:rPr>
                <w:rFonts w:hint="eastAsia" w:ascii="宋体" w:hAnsi="宋体"/>
                <w:b/>
              </w:rPr>
              <w:t>保单年度</w:t>
            </w:r>
            <w:r>
              <w:rPr>
                <w:rStyle w:val="14"/>
                <w:rFonts w:ascii="宋体" w:hAnsi="宋体"/>
                <w:b/>
              </w:rPr>
              <w:footnoteReference w:id="3"/>
            </w:r>
            <w:r>
              <w:rPr>
                <w:rFonts w:hint="eastAsia" w:ascii="宋体" w:hAnsi="宋体"/>
              </w:rPr>
              <w:t>领取的养老保险金不得超过本合同的账户价值，且须符合投保当时我们的规定。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身故保险金</w:t>
            </w:r>
          </w:p>
        </w:tc>
        <w:tc>
          <w:tcPr>
            <w:tcW w:w="7591" w:type="dxa"/>
          </w:tcPr>
          <w:p>
            <w:pPr>
              <w:spacing w:before="78" w:beforeLines="25"/>
              <w:rPr>
                <w:rFonts w:ascii="宋体" w:hAnsi="宋体"/>
                <w:szCs w:val="21"/>
              </w:rPr>
            </w:pPr>
            <w:r>
              <w:rPr>
                <w:rFonts w:hint="eastAsia" w:ascii="宋体" w:hAnsi="宋体"/>
                <w:szCs w:val="21"/>
              </w:rPr>
              <w:t>在本合同有效期内，若被保险人身故，我们向身故保险金受益人给付身故保险金，本合同终止。身故保险金的金额为</w:t>
            </w:r>
            <w:r>
              <w:rPr>
                <w:rFonts w:ascii="宋体" w:hAnsi="宋体"/>
              </w:rPr>
              <w:t>被保险人身故之日</w:t>
            </w:r>
            <w:r>
              <w:rPr>
                <w:rFonts w:hint="eastAsia" w:ascii="宋体" w:hAnsi="宋体"/>
              </w:rPr>
              <w:t>本合同的保单账户价值。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r>
              <w:rPr>
                <w:rFonts w:hint="eastAsia" w:ascii="宋体" w:hAnsi="宋体"/>
                <w:szCs w:val="21"/>
              </w:rPr>
              <w:t>（此页正文完）</w:t>
            </w: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责任免除</w:t>
            </w:r>
          </w:p>
        </w:tc>
        <w:tc>
          <w:tcPr>
            <w:tcW w:w="7591" w:type="dxa"/>
          </w:tcPr>
          <w:p>
            <w:pPr>
              <w:spacing w:before="78" w:beforeLines="25"/>
              <w:rPr>
                <w:rFonts w:ascii="黑体" w:hAnsi="宋体" w:eastAsia="黑体"/>
              </w:rPr>
            </w:pPr>
            <w:r>
              <w:rPr>
                <w:rFonts w:hint="eastAsia" w:ascii="黑体" w:hAnsi="宋体" w:eastAsia="黑体"/>
              </w:rPr>
              <w:t>因下列情形之一导致被保险人身故的，我们不承担给付身故保险金的责任：</w:t>
            </w:r>
          </w:p>
          <w:p>
            <w:pPr>
              <w:numPr>
                <w:ilvl w:val="0"/>
                <w:numId w:val="1"/>
              </w:numPr>
              <w:tabs>
                <w:tab w:val="center" w:pos="4153"/>
                <w:tab w:val="right" w:pos="8306"/>
              </w:tabs>
              <w:snapToGrid w:val="0"/>
              <w:spacing w:before="78" w:beforeLines="25"/>
              <w:rPr>
                <w:rFonts w:ascii="黑体" w:hAnsi="宋体" w:eastAsia="黑体"/>
                <w:sz w:val="18"/>
              </w:rPr>
            </w:pPr>
            <w:r>
              <w:rPr>
                <w:rFonts w:hint="eastAsia" w:ascii="黑体" w:hAnsi="宋体" w:eastAsia="黑体"/>
              </w:rPr>
              <w:t>投保人对被保险人的故意杀害、故意伤害</w:t>
            </w:r>
            <w:r>
              <w:rPr>
                <w:rFonts w:ascii="黑体" w:hAnsi="宋体" w:eastAsia="黑体"/>
              </w:rPr>
              <w:t>；</w:t>
            </w:r>
          </w:p>
          <w:p>
            <w:pPr>
              <w:numPr>
                <w:ilvl w:val="0"/>
                <w:numId w:val="1"/>
              </w:numPr>
              <w:spacing w:before="78" w:beforeLines="25"/>
              <w:rPr>
                <w:rFonts w:ascii="黑体" w:hAnsi="宋体" w:eastAsia="黑体"/>
              </w:rPr>
            </w:pPr>
            <w:r>
              <w:rPr>
                <w:rFonts w:ascii="黑体" w:hAnsi="宋体" w:eastAsia="黑体"/>
              </w:rPr>
              <w:t>被保险人故意犯罪或</w:t>
            </w:r>
            <w:r>
              <w:rPr>
                <w:rFonts w:hint="eastAsia" w:ascii="黑体" w:hAnsi="宋体" w:eastAsia="黑体"/>
              </w:rPr>
              <w:t>者抗拒依法采取的刑事强制措施；</w:t>
            </w:r>
          </w:p>
          <w:p>
            <w:pPr>
              <w:numPr>
                <w:ilvl w:val="0"/>
                <w:numId w:val="1"/>
              </w:numPr>
              <w:spacing w:before="78" w:beforeLines="25"/>
              <w:rPr>
                <w:rFonts w:ascii="黑体" w:hAnsi="宋体" w:eastAsia="黑体"/>
              </w:rPr>
            </w:pPr>
            <w:r>
              <w:rPr>
                <w:rFonts w:hint="eastAsia" w:ascii="黑体" w:hAnsi="宋体" w:eastAsia="黑体"/>
              </w:rPr>
              <w:t>被保险人自本合同成立或者本合同效力恢复之日起</w:t>
            </w:r>
            <w:r>
              <w:rPr>
                <w:rFonts w:ascii="黑体" w:hAnsi="宋体" w:eastAsia="黑体"/>
              </w:rPr>
              <w:t>2年内自杀，但被保险人自杀时为无民事行为能力人的除外；</w:t>
            </w:r>
          </w:p>
          <w:p>
            <w:pPr>
              <w:numPr>
                <w:ilvl w:val="0"/>
                <w:numId w:val="1"/>
              </w:numPr>
              <w:spacing w:before="78" w:beforeLines="25"/>
              <w:rPr>
                <w:rFonts w:ascii="黑体" w:hAnsi="宋体" w:eastAsia="黑体"/>
              </w:rPr>
            </w:pPr>
            <w:r>
              <w:rPr>
                <w:rFonts w:ascii="黑体" w:hAnsi="宋体" w:eastAsia="黑体"/>
              </w:rPr>
              <w:t>被保险人</w:t>
            </w:r>
            <w:r>
              <w:rPr>
                <w:rFonts w:hint="eastAsia" w:ascii="黑体" w:hAnsi="宋体" w:eastAsia="黑体"/>
              </w:rPr>
              <w:t>服用、吸食或注射</w:t>
            </w:r>
            <w:r>
              <w:rPr>
                <w:rFonts w:ascii="黑体" w:hAnsi="宋体" w:eastAsia="黑体"/>
                <w:b/>
                <w:bCs/>
              </w:rPr>
              <w:t>毒品</w:t>
            </w:r>
            <w:r>
              <w:rPr>
                <w:rStyle w:val="14"/>
                <w:rFonts w:ascii="黑体" w:hAnsi="黑体" w:eastAsia="黑体"/>
                <w:b/>
              </w:rPr>
              <w:footnoteReference w:id="4"/>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rPr>
              <w:t>被保险人</w:t>
            </w:r>
            <w:r>
              <w:rPr>
                <w:rFonts w:hint="eastAsia" w:ascii="黑体" w:hAnsi="宋体" w:eastAsia="黑体"/>
                <w:b/>
                <w:bCs/>
              </w:rPr>
              <w:t>酒后驾驶</w:t>
            </w:r>
            <w:r>
              <w:rPr>
                <w:rStyle w:val="14"/>
                <w:rFonts w:ascii="黑体" w:hAnsi="黑体" w:eastAsia="黑体"/>
                <w:b/>
              </w:rPr>
              <w:footnoteReference w:id="5"/>
            </w:r>
            <w:r>
              <w:rPr>
                <w:rFonts w:ascii="黑体" w:hAnsi="宋体" w:eastAsia="黑体"/>
              </w:rPr>
              <w:t>、</w:t>
            </w:r>
            <w:r>
              <w:rPr>
                <w:rFonts w:hint="eastAsia" w:ascii="黑体" w:hAnsi="宋体" w:eastAsia="黑体"/>
                <w:b/>
                <w:bCs/>
              </w:rPr>
              <w:t>无合法有效驾驶证</w:t>
            </w:r>
            <w:r>
              <w:rPr>
                <w:rFonts w:hint="eastAsia" w:ascii="黑体" w:hAnsi="宋体" w:eastAsia="黑体"/>
                <w:b/>
              </w:rPr>
              <w:t>驾驶</w:t>
            </w:r>
            <w:r>
              <w:rPr>
                <w:rStyle w:val="14"/>
                <w:rFonts w:ascii="黑体" w:hAnsi="黑体" w:eastAsia="黑体"/>
                <w:b/>
              </w:rPr>
              <w:footnoteReference w:id="6"/>
            </w:r>
            <w:r>
              <w:rPr>
                <w:rFonts w:ascii="黑体" w:hAnsi="宋体" w:eastAsia="黑体"/>
              </w:rPr>
              <w:t>，或驾驶</w:t>
            </w:r>
            <w:r>
              <w:rPr>
                <w:rFonts w:hint="eastAsia" w:ascii="黑体" w:hAnsi="宋体" w:eastAsia="黑体"/>
                <w:b/>
                <w:bCs/>
              </w:rPr>
              <w:t>无合法有效行驶证</w:t>
            </w:r>
            <w:r>
              <w:rPr>
                <w:rStyle w:val="14"/>
                <w:rFonts w:ascii="黑体" w:hAnsi="黑体" w:eastAsia="黑体"/>
                <w:b/>
              </w:rPr>
              <w:footnoteReference w:id="7"/>
            </w:r>
            <w:r>
              <w:rPr>
                <w:rFonts w:ascii="黑体" w:hAnsi="宋体" w:eastAsia="黑体"/>
              </w:rPr>
              <w:t>的</w:t>
            </w:r>
            <w:r>
              <w:rPr>
                <w:rFonts w:hint="eastAsia" w:ascii="黑体" w:hAnsi="宋体" w:eastAsia="黑体"/>
                <w:b/>
                <w:bCs/>
              </w:rPr>
              <w:t>机动车</w:t>
            </w:r>
            <w:r>
              <w:rPr>
                <w:rStyle w:val="14"/>
                <w:rFonts w:ascii="黑体" w:hAnsi="黑体" w:eastAsia="黑体"/>
                <w:b/>
              </w:rPr>
              <w:footnoteReference w:id="8"/>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b/>
              </w:rPr>
              <w:t>战争</w:t>
            </w:r>
            <w:r>
              <w:rPr>
                <w:rStyle w:val="14"/>
                <w:rFonts w:ascii="黑体" w:hAnsi="宋体" w:eastAsia="黑体"/>
                <w:b/>
              </w:rPr>
              <w:footnoteReference w:id="9"/>
            </w:r>
            <w:r>
              <w:rPr>
                <w:rFonts w:hint="eastAsia" w:ascii="黑体" w:hAnsi="宋体" w:eastAsia="黑体"/>
              </w:rPr>
              <w:t>、</w:t>
            </w:r>
            <w:r>
              <w:rPr>
                <w:rFonts w:hint="eastAsia" w:ascii="黑体" w:hAnsi="宋体" w:eastAsia="黑体"/>
                <w:b/>
              </w:rPr>
              <w:t>军事冲突</w:t>
            </w:r>
            <w:r>
              <w:rPr>
                <w:rStyle w:val="14"/>
                <w:rFonts w:ascii="黑体" w:hAnsi="宋体" w:eastAsia="黑体"/>
                <w:b/>
              </w:rPr>
              <w:footnoteReference w:id="10"/>
            </w:r>
            <w:r>
              <w:rPr>
                <w:rFonts w:hint="eastAsia" w:ascii="黑体" w:hAnsi="宋体" w:eastAsia="黑体"/>
              </w:rPr>
              <w:t>、</w:t>
            </w:r>
            <w:r>
              <w:rPr>
                <w:rFonts w:hint="eastAsia" w:ascii="黑体" w:hAnsi="宋体" w:eastAsia="黑体"/>
                <w:b/>
              </w:rPr>
              <w:t>暴乱</w:t>
            </w:r>
            <w:r>
              <w:rPr>
                <w:rStyle w:val="14"/>
                <w:rFonts w:ascii="黑体" w:hAnsi="宋体" w:eastAsia="黑体"/>
                <w:b/>
              </w:rPr>
              <w:footnoteReference w:id="11"/>
            </w:r>
            <w:r>
              <w:rPr>
                <w:rFonts w:hint="eastAsia" w:ascii="黑体" w:hAnsi="宋体" w:eastAsia="黑体"/>
              </w:rPr>
              <w:t>或武装叛乱；</w:t>
            </w:r>
          </w:p>
          <w:p>
            <w:pPr>
              <w:numPr>
                <w:ilvl w:val="0"/>
                <w:numId w:val="1"/>
              </w:numPr>
              <w:spacing w:before="78" w:beforeLines="25"/>
              <w:rPr>
                <w:rFonts w:ascii="黑体" w:hAnsi="宋体" w:eastAsia="黑体"/>
              </w:rPr>
            </w:pPr>
            <w:r>
              <w:rPr>
                <w:rFonts w:ascii="黑体" w:hAnsi="宋体" w:eastAsia="黑体"/>
              </w:rPr>
              <w:t>核爆炸、核辐射或核污染。</w:t>
            </w:r>
          </w:p>
          <w:p>
            <w:pPr>
              <w:spacing w:before="78" w:beforeLines="25"/>
              <w:rPr>
                <w:rFonts w:ascii="黑体" w:hAnsi="宋体" w:eastAsia="黑体"/>
              </w:rPr>
            </w:pPr>
            <w:r>
              <w:rPr>
                <w:rFonts w:hint="eastAsia" w:ascii="黑体" w:hAnsi="宋体" w:eastAsia="黑体"/>
              </w:rPr>
              <w:t>发生上述第1项情形导致被保险人身故的，本合同终止，我们向被保险人的继承人（除投保人本人外）退还本合同的</w:t>
            </w:r>
            <w:r>
              <w:rPr>
                <w:rFonts w:hint="eastAsia" w:ascii="黑体" w:hAnsi="宋体" w:eastAsia="黑体"/>
                <w:b/>
              </w:rPr>
              <w:t>现金价值</w:t>
            </w:r>
            <w:r>
              <w:rPr>
                <w:rStyle w:val="14"/>
                <w:rFonts w:ascii="黑体" w:hAnsi="黑体" w:eastAsia="黑体"/>
                <w:b/>
              </w:rPr>
              <w:footnoteReference w:id="12"/>
            </w:r>
            <w:r>
              <w:rPr>
                <w:rFonts w:hint="eastAsia" w:ascii="黑体" w:hAnsi="宋体" w:eastAsia="黑体"/>
              </w:rPr>
              <w:t xml:space="preserve">。 </w:t>
            </w:r>
          </w:p>
          <w:p>
            <w:pPr>
              <w:spacing w:before="78" w:beforeLines="25"/>
              <w:rPr>
                <w:rFonts w:ascii="黑体" w:hAnsi="宋体" w:eastAsia="黑体"/>
              </w:rPr>
            </w:pPr>
            <w:r>
              <w:rPr>
                <w:rFonts w:hint="eastAsia" w:ascii="黑体" w:hAnsi="宋体" w:eastAsia="黑体"/>
              </w:rPr>
              <w:t>发生上述其他情形导致被保险人身故的，本合同终止，我们向您退还本合同的现金价值。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宋体" w:eastAsia="黑体" w:cs="Arial"/>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ascii="宋体" w:hAnsi="宋体"/>
                <w:b/>
              </w:rPr>
              <w:t>2.2</w:t>
            </w:r>
          </w:p>
        </w:tc>
        <w:tc>
          <w:tcPr>
            <w:tcW w:w="1555"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其他免责条款</w:t>
            </w:r>
          </w:p>
        </w:tc>
        <w:tc>
          <w:tcPr>
            <w:tcW w:w="7591" w:type="dxa"/>
          </w:tcPr>
          <w:p>
            <w:pPr>
              <w:spacing w:before="78" w:beforeLines="25"/>
              <w:rPr>
                <w:rFonts w:ascii="黑体" w:hAnsi="黑体" w:eastAsia="黑体"/>
              </w:rPr>
            </w:pPr>
            <w:r>
              <w:rPr>
                <w:rFonts w:hint="eastAsia" w:ascii="黑体" w:hAnsi="宋体" w:eastAsia="黑体" w:cs="Arial"/>
                <w:szCs w:val="21"/>
              </w:rPr>
              <w:t>除本条款“2</w:t>
            </w:r>
            <w:r>
              <w:rPr>
                <w:rFonts w:ascii="黑体" w:hAnsi="宋体" w:eastAsia="黑体" w:cs="Arial"/>
                <w:szCs w:val="21"/>
              </w:rPr>
              <w:t>.1</w:t>
            </w:r>
            <w:r>
              <w:rPr>
                <w:rFonts w:hint="eastAsia" w:ascii="黑体" w:hAnsi="宋体" w:eastAsia="黑体" w:cs="Arial"/>
                <w:szCs w:val="21"/>
              </w:rPr>
              <w:t>责任免除”外，本合同中还有一些免除我们责任的条款，如“3.</w:t>
            </w:r>
            <w:r>
              <w:rPr>
                <w:rFonts w:ascii="黑体" w:hAnsi="宋体" w:eastAsia="黑体" w:cs="Arial"/>
                <w:szCs w:val="21"/>
              </w:rPr>
              <w:t>2</w:t>
            </w:r>
            <w:r>
              <w:rPr>
                <w:rFonts w:hint="eastAsia" w:ascii="黑体" w:hAnsi="宋体" w:eastAsia="黑体" w:cs="Arial"/>
                <w:szCs w:val="21"/>
              </w:rPr>
              <w:t>效力中止与恢复”、“8.</w:t>
            </w:r>
            <w:r>
              <w:rPr>
                <w:rFonts w:ascii="黑体" w:hAnsi="宋体" w:eastAsia="黑体" w:cs="Arial"/>
                <w:szCs w:val="21"/>
              </w:rPr>
              <w:t>4</w:t>
            </w:r>
            <w:r>
              <w:rPr>
                <w:rFonts w:hint="eastAsia" w:ascii="黑体" w:hAnsi="宋体" w:eastAsia="黑体" w:cs="Arial"/>
                <w:szCs w:val="21"/>
              </w:rPr>
              <w:t>年龄性别错误的处理”及其他以黑体字体显示的内容。</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146" w:type="dxa"/>
            <w:gridSpan w:val="2"/>
            <w:shd w:val="clear" w:color="auto" w:fill="auto"/>
            <w:vAlign w:val="center"/>
          </w:tcPr>
          <w:p>
            <w:pPr>
              <w:spacing w:before="78" w:beforeLines="25"/>
              <w:rPr>
                <w:rFonts w:ascii="宋体" w:hAnsi="宋体"/>
                <w:b/>
                <w:sz w:val="24"/>
              </w:rPr>
            </w:pPr>
            <w:r>
              <w:rPr>
                <w:rFonts w:hint="eastAsia" w:ascii="宋体" w:hAnsi="宋体"/>
                <w:b/>
                <w:sz w:val="24"/>
              </w:rPr>
              <w:t>如何支付保险费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.1</w:t>
            </w:r>
          </w:p>
        </w:tc>
        <w:tc>
          <w:tcPr>
            <w:tcW w:w="1555" w:type="dxa"/>
          </w:tcPr>
          <w:p>
            <w:pPr>
              <w:spacing w:before="78" w:beforeLines="25"/>
              <w:jc w:val="left"/>
              <w:rPr>
                <w:rFonts w:ascii="宋体" w:hAnsi="宋体"/>
                <w:b/>
              </w:rPr>
            </w:pPr>
            <w:r>
              <w:rPr>
                <w:rFonts w:hint="eastAsia" w:ascii="宋体" w:hAnsi="宋体"/>
                <w:b/>
              </w:rPr>
              <w:t>保险费的支付</w:t>
            </w:r>
          </w:p>
        </w:tc>
        <w:tc>
          <w:tcPr>
            <w:tcW w:w="7591" w:type="dxa"/>
          </w:tcPr>
          <w:p>
            <w:pPr>
              <w:spacing w:before="78" w:beforeLines="25"/>
              <w:rPr>
                <w:rFonts w:ascii="宋体" w:hAnsi="宋体"/>
              </w:rPr>
            </w:pPr>
            <w:r>
              <w:rPr>
                <w:rFonts w:hint="eastAsia" w:ascii="宋体" w:hAnsi="宋体"/>
                <w:szCs w:val="21"/>
              </w:rPr>
              <w:t>本合同的保险费分为转入保险费、趸交保险费和追加保险费，扣除初始费用后的保险费计入保单账户价值。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转入保险费</w:t>
            </w:r>
          </w:p>
        </w:tc>
        <w:tc>
          <w:tcPr>
            <w:tcW w:w="7591" w:type="dxa"/>
          </w:tcPr>
          <w:p>
            <w:pPr>
              <w:spacing w:before="78" w:beforeLines="25"/>
              <w:rPr>
                <w:rFonts w:ascii="宋体" w:hAnsi="宋体"/>
                <w:szCs w:val="21"/>
              </w:rPr>
            </w:pPr>
            <w:r>
              <w:rPr>
                <w:rFonts w:hint="eastAsia" w:ascii="宋体" w:hAnsi="宋体"/>
                <w:szCs w:val="21"/>
              </w:rPr>
              <w:t>转入保险费指按保险单上载明的其他保险合同约定转入的保险金及保单红利（如果有）</w:t>
            </w:r>
            <w:r>
              <w:rPr>
                <w:rFonts w:hint="eastAsia" w:cs="F3" w:asciiTheme="majorEastAsia" w:hAnsiTheme="majorEastAsia" w:eastAsiaTheme="majorEastAsia"/>
                <w:kern w:val="0"/>
                <w:szCs w:val="21"/>
              </w:rPr>
              <w:t>，由您在投保时与我们约定，并在保险单上载明</w:t>
            </w:r>
            <w:r>
              <w:rPr>
                <w:rFonts w:hint="eastAsia" w:ascii="宋体" w:hAnsi="宋体"/>
                <w:szCs w:val="21"/>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tcPr>
          <w:p>
            <w:pPr>
              <w:spacing w:before="78" w:beforeLines="25"/>
              <w:jc w:val="left"/>
              <w:rPr>
                <w:rFonts w:ascii="宋体" w:hAnsi="宋体"/>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趸交保险费</w:t>
            </w:r>
          </w:p>
        </w:tc>
        <w:tc>
          <w:tcPr>
            <w:tcW w:w="7591" w:type="dxa"/>
          </w:tcPr>
          <w:p>
            <w:pPr>
              <w:spacing w:before="78" w:beforeLines="25"/>
              <w:rPr>
                <w:rFonts w:ascii="宋体" w:hAnsi="宋体"/>
                <w:szCs w:val="21"/>
              </w:rPr>
            </w:pPr>
            <w:r>
              <w:rPr>
                <w:rFonts w:hint="eastAsia" w:ascii="宋体" w:hAnsi="宋体"/>
                <w:szCs w:val="21"/>
              </w:rPr>
              <w:t>本合同的趸交保险费由您在投保时一次性支付，支付金额由您在投保时与我们约定，并在保险单上载明。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r>
              <w:rPr>
                <w:rFonts w:hint="eastAsia" w:ascii="宋体" w:hAnsi="宋体"/>
                <w:szCs w:val="21"/>
              </w:rPr>
              <w:t>（此页正文完）</w:t>
            </w: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追加保险费</w:t>
            </w:r>
          </w:p>
        </w:tc>
        <w:tc>
          <w:tcPr>
            <w:tcW w:w="7591" w:type="dxa"/>
          </w:tcPr>
          <w:p>
            <w:pPr>
              <w:spacing w:before="78" w:beforeLines="25"/>
              <w:rPr>
                <w:rFonts w:ascii="宋体" w:hAnsi="宋体"/>
              </w:rPr>
            </w:pPr>
            <w:r>
              <w:rPr>
                <w:rFonts w:hint="eastAsia" w:ascii="宋体" w:hAnsi="宋体"/>
                <w:szCs w:val="21"/>
              </w:rPr>
              <w:t>在本合同保险期间内，您可以申请追加保险费，每次追加保险费须符合当时我们的规定，经我们审核同意后为您办理。我们有权调整追加保险费的规定，您可以向服务场所工作人员咨询当时适用的规定。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.2</w:t>
            </w:r>
          </w:p>
        </w:tc>
        <w:tc>
          <w:tcPr>
            <w:tcW w:w="1555" w:type="dxa"/>
          </w:tcPr>
          <w:p>
            <w:pPr>
              <w:spacing w:before="78" w:beforeLines="25"/>
              <w:jc w:val="left"/>
              <w:rPr>
                <w:rFonts w:ascii="宋体" w:hAnsi="宋体"/>
                <w:b/>
              </w:rPr>
            </w:pPr>
            <w:r>
              <w:rPr>
                <w:rFonts w:hint="eastAsia" w:ascii="宋体" w:hAnsi="宋体"/>
                <w:b/>
              </w:rPr>
              <w:t>效力中止与恢复</w:t>
            </w:r>
          </w:p>
        </w:tc>
        <w:tc>
          <w:tcPr>
            <w:tcW w:w="7591" w:type="dxa"/>
          </w:tcPr>
          <w:p>
            <w:pPr>
              <w:spacing w:before="78" w:beforeLines="25"/>
              <w:rPr>
                <w:rFonts w:ascii="黑体" w:hAnsi="黑体" w:eastAsia="黑体"/>
                <w:szCs w:val="21"/>
              </w:rPr>
            </w:pPr>
            <w:r>
              <w:rPr>
                <w:rFonts w:hint="eastAsia" w:ascii="宋体" w:hAnsi="宋体"/>
                <w:szCs w:val="21"/>
              </w:rPr>
              <w:t>当本合同效力中止时，保单账户价值将分成两个阶段进行计算，第一个阶段为本合同效力中止日的前一个结算日到本合同的效力中止日，保单账户价值按本合同约定的保单账户最低保证利率进行累积，第二个阶段为本合同效力中止期间，</w:t>
            </w:r>
            <w:r>
              <w:rPr>
                <w:rFonts w:hint="eastAsia" w:ascii="黑体" w:hAnsi="黑体" w:eastAsia="黑体"/>
                <w:szCs w:val="21"/>
              </w:rPr>
              <w:t>保单账户价值不再进行累积，且本公司在本合同效力中止期间不承担</w:t>
            </w:r>
            <w:r>
              <w:rPr>
                <w:rFonts w:ascii="黑体" w:hAnsi="黑体" w:eastAsia="黑体"/>
                <w:szCs w:val="21"/>
              </w:rPr>
              <w:t>保险责任。</w:t>
            </w:r>
          </w:p>
          <w:p>
            <w:pPr>
              <w:spacing w:before="78" w:beforeLines="25"/>
              <w:rPr>
                <w:rFonts w:ascii="宋体" w:hAnsi="宋体"/>
              </w:rPr>
            </w:pPr>
            <w:r>
              <w:rPr>
                <w:rFonts w:hint="eastAsia" w:ascii="宋体" w:hAnsi="宋体"/>
              </w:rPr>
              <w:t>本合同效力中止之日起2年内，您可以申请恢复合同效力。经您与我们协商并达成协议，自您补交保险费之日起，本合同效力恢复。前述保险费在扣除初始费用后计入保单账户价值。</w:t>
            </w:r>
          </w:p>
          <w:p>
            <w:pPr>
              <w:spacing w:before="78" w:beforeLines="25"/>
              <w:rPr>
                <w:rFonts w:ascii="宋体" w:hAnsi="宋体"/>
              </w:rPr>
            </w:pPr>
            <w:r>
              <w:rPr>
                <w:rFonts w:hint="eastAsia" w:ascii="黑体" w:hAnsi="黑体" w:eastAsia="黑体"/>
              </w:rPr>
              <w:t>自本合同效力中止之日起满2年您与我们未达成协议的，我们有权解除合同。我们解除本合同的，向您退还本合同中止之日本合同的现金价值。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Borders>
              <w:bottom w:val="single" w:color="auto" w:sz="4" w:space="0"/>
            </w:tcBorders>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146" w:type="dxa"/>
            <w:gridSpan w:val="2"/>
            <w:tcBorders>
              <w:bottom w:val="single" w:color="auto" w:sz="4" w:space="0"/>
            </w:tcBorders>
          </w:tcPr>
          <w:p>
            <w:pPr>
              <w:spacing w:before="78" w:beforeLines="25"/>
              <w:rPr>
                <w:rFonts w:ascii="宋体" w:hAnsi="宋体"/>
                <w:b/>
                <w:sz w:val="24"/>
              </w:rPr>
            </w:pPr>
            <w:r>
              <w:rPr>
                <w:rFonts w:hint="eastAsia" w:ascii="宋体" w:hAnsi="宋体"/>
                <w:b/>
                <w:sz w:val="24"/>
              </w:rPr>
              <w:t>保单账户的运作管理</w:t>
            </w:r>
          </w:p>
        </w:tc>
      </w:tr>
      <w:tr>
        <w:tblPrEx>
          <w:tblCellMar>
            <w:top w:w="0" w:type="dxa"/>
            <w:left w:w="108" w:type="dxa"/>
            <w:bottom w:w="0" w:type="dxa"/>
            <w:right w:w="108" w:type="dxa"/>
          </w:tblCellMar>
        </w:tblPrEx>
        <w:trPr>
          <w:trHeight w:val="170" w:hRule="exact"/>
        </w:trPr>
        <w:tc>
          <w:tcPr>
            <w:tcW w:w="668" w:type="dxa"/>
            <w:tcBorders>
              <w:top w:val="single" w:color="auto" w:sz="4" w:space="0"/>
            </w:tcBorders>
          </w:tcPr>
          <w:p>
            <w:pPr>
              <w:spacing w:before="78" w:beforeLines="25"/>
              <w:rPr>
                <w:rFonts w:ascii="宋体" w:hAnsi="宋体"/>
                <w:b/>
              </w:rPr>
            </w:pPr>
          </w:p>
        </w:tc>
        <w:tc>
          <w:tcPr>
            <w:tcW w:w="1555" w:type="dxa"/>
            <w:tcBorders>
              <w:top w:val="single" w:color="auto" w:sz="4" w:space="0"/>
            </w:tcBorders>
          </w:tcPr>
          <w:p>
            <w:pPr>
              <w:spacing w:before="78" w:beforeLines="25"/>
              <w:rPr>
                <w:rFonts w:asciiTheme="minorEastAsia" w:hAnsiTheme="minorEastAsia" w:eastAsiaTheme="minorEastAsia"/>
                <w:b/>
              </w:rPr>
            </w:pPr>
          </w:p>
        </w:tc>
        <w:tc>
          <w:tcPr>
            <w:tcW w:w="7591" w:type="dxa"/>
            <w:tcBorders>
              <w:top w:val="single" w:color="auto" w:sz="4" w:space="0"/>
            </w:tcBorders>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4.1</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保单账户与保单账户价值</w:t>
            </w:r>
          </w:p>
        </w:tc>
        <w:tc>
          <w:tcPr>
            <w:tcW w:w="7591" w:type="dxa"/>
          </w:tcPr>
          <w:p>
            <w:pPr>
              <w:spacing w:before="78" w:beforeLines="25"/>
              <w:rPr>
                <w:rFonts w:ascii="宋体" w:hAnsi="宋体"/>
                <w:szCs w:val="21"/>
              </w:rPr>
            </w:pPr>
            <w:r>
              <w:rPr>
                <w:rFonts w:hint="eastAsia" w:ascii="宋体" w:hAnsi="宋体"/>
                <w:szCs w:val="21"/>
              </w:rPr>
              <w:t>我们于本合同生效日设立保单账户，用于记录本合同的保单账户价值。</w:t>
            </w:r>
          </w:p>
          <w:p>
            <w:pPr>
              <w:spacing w:before="78" w:beforeLines="25"/>
              <w:rPr>
                <w:rFonts w:ascii="宋体" w:hAnsi="宋体"/>
                <w:szCs w:val="21"/>
              </w:rPr>
            </w:pPr>
            <w:r>
              <w:rPr>
                <w:rFonts w:hint="eastAsia" w:ascii="宋体" w:hAnsi="宋体"/>
                <w:szCs w:val="21"/>
              </w:rPr>
              <w:t>在本合同保险期间内，保单账户价值随着扣除初始费用后的保险费、保单账户利息及持续奖金计入保单账户而增加；随着养老保险金的领取、保单账户价值的部分领取而减少。</w:t>
            </w:r>
          </w:p>
          <w:p>
            <w:pPr>
              <w:spacing w:before="78" w:beforeLines="25"/>
              <w:rPr>
                <w:rFonts w:ascii="黑体" w:hAnsi="黑体" w:eastAsia="黑体"/>
              </w:rPr>
            </w:pPr>
            <w:r>
              <w:rPr>
                <w:rFonts w:hint="eastAsia" w:ascii="宋体" w:hAnsi="宋体"/>
                <w:szCs w:val="21"/>
              </w:rPr>
              <w:t>在</w:t>
            </w:r>
            <w:r>
              <w:rPr>
                <w:rFonts w:hint="eastAsia" w:ascii="宋体" w:hAnsi="宋体"/>
              </w:rPr>
              <w:t>每一保单年度，我们将向您提供一份保单年度报告，告知您保单账户价值的具体状况。</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4.2</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保单账户结算</w:t>
            </w:r>
          </w:p>
        </w:tc>
        <w:tc>
          <w:tcPr>
            <w:tcW w:w="7591" w:type="dxa"/>
          </w:tcPr>
          <w:p>
            <w:pPr>
              <w:spacing w:before="78" w:beforeLines="25"/>
              <w:rPr>
                <w:rFonts w:ascii="宋体" w:hAnsi="宋体"/>
              </w:rPr>
            </w:pPr>
            <w:r>
              <w:rPr>
                <w:rFonts w:ascii="宋体" w:hAnsi="宋体"/>
              </w:rPr>
              <w:t>在本合同有效期内，保单账户价值每月结算一次。</w:t>
            </w:r>
            <w:r>
              <w:rPr>
                <w:rFonts w:hint="eastAsia" w:ascii="宋体" w:hAnsi="宋体"/>
              </w:rPr>
              <w:t>保单账户结算日为每月1日。</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结算利率</w:t>
            </w:r>
          </w:p>
        </w:tc>
        <w:tc>
          <w:tcPr>
            <w:tcW w:w="7591" w:type="dxa"/>
          </w:tcPr>
          <w:p>
            <w:pPr>
              <w:spacing w:before="78" w:beforeLines="25"/>
              <w:rPr>
                <w:rFonts w:ascii="宋体" w:hAnsi="宋体"/>
              </w:rPr>
            </w:pPr>
            <w:r>
              <w:rPr>
                <w:rFonts w:hint="eastAsia" w:ascii="宋体" w:hAnsi="宋体"/>
              </w:rPr>
              <w:t>我们在每月月初确定上个月的结算利率，并自每月结算日起6个工作日内公布。</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保单账户利息</w:t>
            </w:r>
          </w:p>
        </w:tc>
        <w:tc>
          <w:tcPr>
            <w:tcW w:w="7591" w:type="dxa"/>
          </w:tcPr>
          <w:p>
            <w:pPr>
              <w:spacing w:before="78" w:beforeLines="25"/>
              <w:rPr>
                <w:rFonts w:ascii="宋体" w:hAnsi="宋体"/>
              </w:rPr>
            </w:pPr>
            <w:r>
              <w:rPr>
                <w:rFonts w:hint="eastAsia" w:ascii="宋体" w:hAnsi="宋体"/>
              </w:rPr>
              <w:t>我们在每月结算日零时结算保单账户利息。保单账户价值根据本合同上个月的实际经过天数，按我们本月公布的结算利率进行累积。</w:t>
            </w:r>
          </w:p>
          <w:p>
            <w:pPr>
              <w:spacing w:before="78" w:beforeLines="25"/>
              <w:rPr>
                <w:rFonts w:ascii="宋体" w:hAnsi="宋体"/>
              </w:rPr>
            </w:pPr>
            <w:r>
              <w:rPr>
                <w:rFonts w:hint="eastAsia" w:ascii="宋体" w:hAnsi="宋体"/>
              </w:rPr>
              <w:t>如果本合同终止，我们将在本合同终止日结算保单账户价值。保单账户价值根据本合同在终止日所在月的实际经过天数，按本合同约定的最低保证利率进行累积。</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保单账户最低保证利率</w:t>
            </w:r>
          </w:p>
        </w:tc>
        <w:tc>
          <w:tcPr>
            <w:tcW w:w="7591" w:type="dxa"/>
          </w:tcPr>
          <w:p>
            <w:pPr>
              <w:spacing w:before="78" w:beforeLines="25"/>
              <w:rPr>
                <w:rFonts w:ascii="宋体" w:hAnsi="宋体"/>
              </w:rPr>
            </w:pPr>
            <w:r>
              <w:rPr>
                <w:rFonts w:hint="eastAsia" w:ascii="宋体" w:hAnsi="宋体"/>
              </w:rPr>
              <w:t>最低保证利率指保单账户价值的最低年结算利率。本合同保单账户的最低保证利率为</w:t>
            </w:r>
            <w:r>
              <w:rPr>
                <w:rFonts w:ascii="宋体" w:hAnsi="宋体"/>
              </w:rPr>
              <w:t>1</w:t>
            </w:r>
            <w:r>
              <w:rPr>
                <w:rFonts w:hint="eastAsia" w:ascii="宋体" w:hAnsi="宋体"/>
              </w:rPr>
              <w:t>％，</w:t>
            </w:r>
            <w:r>
              <w:rPr>
                <w:rFonts w:ascii="宋体" w:hAnsi="宋体"/>
              </w:rPr>
              <w:t>每个保单年度的实际结算利率不会低于最低保证利率。</w:t>
            </w:r>
          </w:p>
          <w:p>
            <w:pPr>
              <w:spacing w:before="78" w:beforeLines="25"/>
              <w:rPr>
                <w:rFonts w:ascii="宋体" w:hAnsi="宋体"/>
              </w:rPr>
            </w:pPr>
            <w:r>
              <w:rPr>
                <w:rFonts w:hint="eastAsia" w:ascii="宋体" w:hAnsi="宋体"/>
              </w:rPr>
              <w:t>我们将在每个保单年度期满日后的首个结算日零时，根据最低保证利率计算保单账户最低保证价值。如果保单账户价值低于保单账户最低保证价值，我们将保单账户价值调升至保单账户最低保证价值。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4.3</w:t>
            </w:r>
          </w:p>
        </w:tc>
        <w:tc>
          <w:tcPr>
            <w:tcW w:w="1555" w:type="dxa"/>
          </w:tcPr>
          <w:p>
            <w:pPr>
              <w:spacing w:before="78" w:beforeLines="25"/>
              <w:jc w:val="left"/>
              <w:rPr>
                <w:rFonts w:ascii="宋体" w:hAnsi="宋体"/>
                <w:b/>
              </w:rPr>
            </w:pPr>
            <w:r>
              <w:rPr>
                <w:rFonts w:hint="eastAsia" w:ascii="宋体" w:hAnsi="宋体"/>
                <w:b/>
              </w:rPr>
              <w:t>持续奖金</w:t>
            </w:r>
          </w:p>
        </w:tc>
        <w:tc>
          <w:tcPr>
            <w:tcW w:w="7591" w:type="dxa"/>
          </w:tcPr>
          <w:p>
            <w:pPr>
              <w:spacing w:before="78" w:beforeLines="25"/>
              <w:rPr>
                <w:rFonts w:ascii="宋体" w:hAnsi="宋体"/>
              </w:rPr>
            </w:pPr>
            <w:r>
              <w:rPr>
                <w:rFonts w:hint="eastAsia" w:ascii="宋体" w:hAnsi="宋体"/>
              </w:rPr>
              <w:t>自第6个保单年度起，若本合同于每个保单年度末有效，我们将向您发放持续奖金。</w:t>
            </w:r>
          </w:p>
          <w:p>
            <w:pPr>
              <w:spacing w:before="78" w:beforeLines="25"/>
              <w:rPr>
                <w:rFonts w:ascii="宋体" w:hAnsi="宋体"/>
              </w:rPr>
            </w:pPr>
            <w:r>
              <w:rPr>
                <w:rFonts w:hint="eastAsia" w:ascii="宋体" w:hAnsi="宋体"/>
              </w:rPr>
              <w:t>第6个保单年度末的持续奖金金额为前6个保单年度转入保险费之和的1％，第7个及之后每个保单年度末的持续奖金金额为该保单年度转入保险费的1％。</w:t>
            </w:r>
          </w:p>
          <w:p>
            <w:pPr>
              <w:spacing w:before="78" w:beforeLines="25"/>
              <w:rPr>
                <w:rFonts w:ascii="宋体" w:hAnsi="宋体"/>
              </w:rPr>
            </w:pPr>
            <w:r>
              <w:rPr>
                <w:rFonts w:hint="eastAsia" w:ascii="黑体" w:hAnsi="黑体" w:eastAsia="黑体"/>
              </w:rPr>
              <w:t>持续奖金直接计入您的保单账户，不以现金形式发放。</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4</w:t>
            </w:r>
          </w:p>
        </w:tc>
        <w:tc>
          <w:tcPr>
            <w:tcW w:w="1555" w:type="dxa"/>
          </w:tcPr>
          <w:p>
            <w:pPr>
              <w:spacing w:before="78" w:beforeLines="25"/>
              <w:jc w:val="left"/>
              <w:rPr>
                <w:rFonts w:asciiTheme="minorEastAsia" w:hAnsiTheme="minorEastAsia" w:eastAsiaTheme="minorEastAsia"/>
                <w:b/>
              </w:rPr>
            </w:pPr>
            <w:r>
              <w:rPr>
                <w:rFonts w:hint="eastAsia" w:ascii="宋体" w:hAnsi="宋体"/>
                <w:b/>
              </w:rPr>
              <w:t>费用收取</w:t>
            </w:r>
          </w:p>
        </w:tc>
        <w:tc>
          <w:tcPr>
            <w:tcW w:w="7591" w:type="dxa"/>
          </w:tcPr>
          <w:p>
            <w:pPr>
              <w:spacing w:before="78" w:beforeLines="25"/>
              <w:rPr>
                <w:rFonts w:ascii="宋体" w:hAnsi="宋体"/>
              </w:rPr>
            </w:pPr>
            <w:r>
              <w:rPr>
                <w:rFonts w:hint="eastAsia" w:ascii="宋体" w:hAnsi="宋体"/>
              </w:rPr>
              <w:t>在本合同保险期间内，</w:t>
            </w:r>
            <w:r>
              <w:rPr>
                <w:rFonts w:ascii="宋体" w:hAnsi="宋体"/>
              </w:rPr>
              <w:t>我们按约定收取</w:t>
            </w:r>
            <w:r>
              <w:rPr>
                <w:rFonts w:hint="eastAsia" w:ascii="宋体" w:hAnsi="宋体"/>
              </w:rPr>
              <w:t>如下</w:t>
            </w:r>
            <w:r>
              <w:rPr>
                <w:rFonts w:ascii="宋体" w:hAnsi="宋体"/>
              </w:rPr>
              <w:t>费用：</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初始费用</w:t>
            </w:r>
          </w:p>
        </w:tc>
        <w:tc>
          <w:tcPr>
            <w:tcW w:w="7591" w:type="dxa"/>
          </w:tcPr>
          <w:p>
            <w:pPr>
              <w:spacing w:before="78" w:beforeLines="25"/>
              <w:rPr>
                <w:rFonts w:ascii="黑体" w:hAnsi="黑体" w:eastAsia="黑体"/>
                <w:szCs w:val="21"/>
              </w:rPr>
            </w:pPr>
            <w:r>
              <w:rPr>
                <w:rFonts w:hint="eastAsia" w:ascii="黑体" w:hAnsi="黑体" w:eastAsia="黑体"/>
                <w:szCs w:val="21"/>
              </w:rPr>
              <w:t>对于转入保险费，我们按转入保险费的</w:t>
            </w:r>
            <w:r>
              <w:rPr>
                <w:rFonts w:ascii="黑体" w:hAnsi="黑体" w:eastAsia="黑体"/>
                <w:szCs w:val="21"/>
              </w:rPr>
              <w:t>1</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对于趸交保险费，我们按趸交保险费的</w:t>
            </w:r>
            <w:r>
              <w:rPr>
                <w:rFonts w:ascii="黑体" w:hAnsi="黑体" w:eastAsia="黑体"/>
                <w:szCs w:val="21"/>
              </w:rPr>
              <w:t>3</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对于追加保险费，我们按追加保险费的</w:t>
            </w:r>
            <w:r>
              <w:rPr>
                <w:rFonts w:ascii="黑体" w:hAnsi="黑体" w:eastAsia="黑体"/>
                <w:szCs w:val="21"/>
              </w:rPr>
              <w:t>3</w:t>
            </w:r>
            <w:r>
              <w:rPr>
                <w:rFonts w:hint="eastAsia" w:ascii="黑体" w:hAnsi="黑体" w:eastAsia="黑体"/>
                <w:szCs w:val="21"/>
              </w:rPr>
              <w:t>％收取初始费用。</w:t>
            </w:r>
          </w:p>
        </w:tc>
      </w:tr>
    </w:tbl>
    <w:p/>
    <w:tbl>
      <w:tblPr>
        <w:tblStyle w:val="9"/>
        <w:tblW w:w="0" w:type="auto"/>
        <w:tblInd w:w="-5" w:type="dxa"/>
        <w:tblLayout w:type="fixed"/>
        <w:tblCellMar>
          <w:top w:w="0" w:type="dxa"/>
          <w:left w:w="108" w:type="dxa"/>
          <w:bottom w:w="0" w:type="dxa"/>
          <w:right w:w="108" w:type="dxa"/>
        </w:tblCellMar>
      </w:tblPr>
      <w:tblGrid>
        <w:gridCol w:w="668"/>
        <w:gridCol w:w="1419"/>
        <w:gridCol w:w="136"/>
        <w:gridCol w:w="74"/>
        <w:gridCol w:w="1092"/>
        <w:gridCol w:w="1036"/>
        <w:gridCol w:w="1022"/>
        <w:gridCol w:w="1007"/>
        <w:gridCol w:w="1036"/>
        <w:gridCol w:w="1050"/>
        <w:gridCol w:w="1274"/>
      </w:tblGrid>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退保费用</w:t>
            </w:r>
          </w:p>
        </w:tc>
        <w:tc>
          <w:tcPr>
            <w:tcW w:w="7591" w:type="dxa"/>
            <w:gridSpan w:val="8"/>
          </w:tcPr>
          <w:p>
            <w:pPr>
              <w:spacing w:before="78" w:beforeLines="25"/>
              <w:rPr>
                <w:rFonts w:ascii="黑体" w:hAnsi="黑体" w:eastAsia="黑体"/>
              </w:rPr>
            </w:pPr>
            <w:r>
              <w:rPr>
                <w:rFonts w:ascii="黑体" w:hAnsi="黑体" w:eastAsia="黑体"/>
              </w:rPr>
              <w:t>您</w:t>
            </w:r>
            <w:r>
              <w:rPr>
                <w:rFonts w:hint="eastAsia" w:ascii="黑体" w:hAnsi="黑体" w:eastAsia="黑体"/>
              </w:rPr>
              <w:t>在犹豫期后</w:t>
            </w:r>
            <w:r>
              <w:rPr>
                <w:rFonts w:ascii="黑体" w:hAnsi="黑体" w:eastAsia="黑体"/>
              </w:rPr>
              <w:t>解除本合同或者部分领取保单账户价值时，我们将收取退保费用。</w:t>
            </w:r>
          </w:p>
          <w:p>
            <w:pPr>
              <w:spacing w:before="78" w:beforeLines="25"/>
              <w:rPr>
                <w:rFonts w:ascii="黑体" w:hAnsi="黑体" w:eastAsia="黑体"/>
              </w:rPr>
            </w:pPr>
            <w:r>
              <w:rPr>
                <w:rFonts w:ascii="黑体" w:hAnsi="黑体" w:eastAsia="黑体"/>
              </w:rPr>
              <w:t>退保费用为</w:t>
            </w:r>
            <w:r>
              <w:rPr>
                <w:rFonts w:hint="eastAsia" w:ascii="黑体" w:hAnsi="黑体" w:eastAsia="黑体"/>
              </w:rPr>
              <w:t>我们收到</w:t>
            </w:r>
            <w:r>
              <w:rPr>
                <w:rFonts w:ascii="黑体" w:hAnsi="黑体" w:eastAsia="黑体"/>
              </w:rPr>
              <w:t>您解除本合同</w:t>
            </w:r>
            <w:r>
              <w:rPr>
                <w:rFonts w:hint="eastAsia" w:ascii="黑体" w:hAnsi="黑体" w:eastAsia="黑体"/>
              </w:rPr>
              <w:t>申请书之日的</w:t>
            </w:r>
            <w:r>
              <w:rPr>
                <w:rFonts w:ascii="黑体" w:hAnsi="黑体" w:eastAsia="黑体"/>
              </w:rPr>
              <w:t>保单账户价值或者</w:t>
            </w:r>
            <w:r>
              <w:rPr>
                <w:rFonts w:hint="eastAsia" w:ascii="黑体" w:hAnsi="黑体" w:eastAsia="黑体"/>
              </w:rPr>
              <w:t>您申请</w:t>
            </w:r>
            <w:r>
              <w:rPr>
                <w:rFonts w:ascii="黑体" w:hAnsi="黑体" w:eastAsia="黑体"/>
              </w:rPr>
              <w:t>部分领取的保单账户价值的一定比例，具体收取标准见下表：</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173" w:hRule="atLeast"/>
        </w:trPr>
        <w:tc>
          <w:tcPr>
            <w:tcW w:w="668" w:type="dxa"/>
            <w:vMerge w:val="restart"/>
          </w:tcPr>
          <w:p>
            <w:pPr>
              <w:spacing w:before="78" w:beforeLines="25"/>
              <w:rPr>
                <w:rFonts w:ascii="宋体" w:hAnsi="宋体"/>
                <w:b/>
              </w:rPr>
            </w:pPr>
          </w:p>
        </w:tc>
        <w:tc>
          <w:tcPr>
            <w:tcW w:w="1629" w:type="dxa"/>
            <w:gridSpan w:val="3"/>
            <w:vMerge w:val="restart"/>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保单年度</w:t>
            </w:r>
          </w:p>
        </w:tc>
        <w:tc>
          <w:tcPr>
            <w:tcW w:w="103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cs="宋体"/>
                <w:szCs w:val="21"/>
              </w:rPr>
            </w:pPr>
            <w:r>
              <w:rPr>
                <w:rFonts w:hint="eastAsia" w:ascii="黑体" w:hAnsi="黑体" w:eastAsia="黑体" w:cs="宋体"/>
                <w:szCs w:val="21"/>
              </w:rPr>
              <w:t>第1保单年度</w:t>
            </w:r>
          </w:p>
        </w:tc>
        <w:tc>
          <w:tcPr>
            <w:tcW w:w="102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第2保单年度</w:t>
            </w:r>
          </w:p>
        </w:tc>
        <w:tc>
          <w:tcPr>
            <w:tcW w:w="100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第3保单年度</w:t>
            </w:r>
          </w:p>
        </w:tc>
        <w:tc>
          <w:tcPr>
            <w:tcW w:w="1036"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第4保单年度</w:t>
            </w:r>
          </w:p>
        </w:tc>
        <w:tc>
          <w:tcPr>
            <w:tcW w:w="1050"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第5保单年度</w:t>
            </w:r>
          </w:p>
        </w:tc>
        <w:tc>
          <w:tcPr>
            <w:tcW w:w="1274"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第6及以后各保单年度</w:t>
            </w:r>
          </w:p>
        </w:tc>
      </w:tr>
      <w:tr>
        <w:tblPrEx>
          <w:tblCellMar>
            <w:top w:w="0" w:type="dxa"/>
            <w:left w:w="108" w:type="dxa"/>
            <w:bottom w:w="0" w:type="dxa"/>
            <w:right w:w="108" w:type="dxa"/>
          </w:tblCellMar>
        </w:tblPrEx>
        <w:trPr>
          <w:trHeight w:val="172" w:hRule="atLeast"/>
        </w:trPr>
        <w:tc>
          <w:tcPr>
            <w:tcW w:w="668" w:type="dxa"/>
            <w:vMerge w:val="continue"/>
          </w:tcPr>
          <w:p>
            <w:pPr>
              <w:spacing w:before="78" w:beforeLines="25"/>
              <w:rPr>
                <w:rFonts w:ascii="宋体" w:hAnsi="宋体"/>
                <w:b/>
              </w:rPr>
            </w:pPr>
          </w:p>
        </w:tc>
        <w:tc>
          <w:tcPr>
            <w:tcW w:w="1629" w:type="dxa"/>
            <w:gridSpan w:val="3"/>
            <w:vMerge w:val="continue"/>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退保费用比例</w:t>
            </w:r>
          </w:p>
        </w:tc>
        <w:tc>
          <w:tcPr>
            <w:tcW w:w="1036"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3</w:t>
            </w:r>
            <w:r>
              <w:rPr>
                <w:rFonts w:hint="eastAsia" w:ascii="黑体" w:hAnsi="黑体" w:eastAsia="黑体"/>
              </w:rPr>
              <w:t>％</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2</w:t>
            </w:r>
            <w:r>
              <w:rPr>
                <w:rFonts w:hint="eastAsia" w:ascii="黑体" w:hAnsi="黑体" w:eastAsia="黑体"/>
              </w:rPr>
              <w:t>％</w:t>
            </w:r>
          </w:p>
        </w:tc>
        <w:tc>
          <w:tcPr>
            <w:tcW w:w="1007"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36"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50"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274"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0％</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5</w:t>
            </w:r>
          </w:p>
        </w:tc>
        <w:tc>
          <w:tcPr>
            <w:tcW w:w="1555" w:type="dxa"/>
            <w:gridSpan w:val="2"/>
          </w:tcPr>
          <w:p>
            <w:pPr>
              <w:spacing w:before="78" w:beforeLines="25"/>
              <w:jc w:val="left"/>
              <w:rPr>
                <w:rFonts w:ascii="楷体_GB2312" w:hAnsi="宋体" w:eastAsia="楷体_GB2312"/>
                <w:b/>
              </w:rPr>
            </w:pPr>
            <w:r>
              <w:rPr>
                <w:rFonts w:hint="eastAsia" w:ascii="宋体" w:hAnsi="宋体"/>
                <w:b/>
              </w:rPr>
              <w:t>保单账户价值的部分领取</w:t>
            </w:r>
          </w:p>
        </w:tc>
        <w:tc>
          <w:tcPr>
            <w:tcW w:w="7591" w:type="dxa"/>
            <w:gridSpan w:val="8"/>
          </w:tcPr>
          <w:p>
            <w:pPr>
              <w:spacing w:before="78" w:beforeLines="25"/>
              <w:rPr>
                <w:rFonts w:ascii="宋体" w:hAnsi="宋体"/>
              </w:rPr>
            </w:pPr>
            <w:r>
              <w:rPr>
                <w:rFonts w:hint="eastAsia" w:ascii="宋体" w:hAnsi="宋体"/>
              </w:rPr>
              <w:t>在本合同有效期内，</w:t>
            </w:r>
            <w:r>
              <w:rPr>
                <w:rFonts w:ascii="宋体" w:hAnsi="宋体"/>
              </w:rPr>
              <w:t>您在犹豫期后可以申请部分领取保单账户价值，</w:t>
            </w:r>
            <w:r>
              <w:rPr>
                <w:rFonts w:ascii="黑体" w:hAnsi="黑体" w:eastAsia="黑体"/>
              </w:rPr>
              <w:t>但需要</w:t>
            </w:r>
            <w:r>
              <w:rPr>
                <w:rFonts w:hint="eastAsia" w:ascii="黑体" w:hAnsi="黑体" w:eastAsia="黑体"/>
              </w:rPr>
              <w:t>同时</w:t>
            </w:r>
            <w:r>
              <w:rPr>
                <w:rFonts w:ascii="黑体" w:hAnsi="黑体" w:eastAsia="黑体"/>
              </w:rPr>
              <w:t>满足以下条件：</w:t>
            </w:r>
          </w:p>
          <w:p>
            <w:pPr>
              <w:numPr>
                <w:ilvl w:val="0"/>
                <w:numId w:val="2"/>
              </w:numPr>
              <w:spacing w:before="78" w:beforeLines="25"/>
              <w:ind w:left="720" w:hanging="720"/>
              <w:rPr>
                <w:rFonts w:ascii="宋体" w:hAnsi="宋体"/>
              </w:rPr>
            </w:pPr>
            <w:r>
              <w:rPr>
                <w:rFonts w:ascii="宋体" w:hAnsi="宋体"/>
              </w:rPr>
              <w:t>被保险人未</w:t>
            </w:r>
            <w:r>
              <w:rPr>
                <w:rFonts w:hint="eastAsia" w:ascii="宋体" w:hAnsi="宋体"/>
              </w:rPr>
              <w:t>身故</w:t>
            </w:r>
            <w:r>
              <w:rPr>
                <w:rFonts w:ascii="宋体" w:hAnsi="宋体"/>
              </w:rPr>
              <w:t>；</w:t>
            </w:r>
          </w:p>
          <w:p>
            <w:pPr>
              <w:numPr>
                <w:ilvl w:val="0"/>
                <w:numId w:val="2"/>
              </w:numPr>
              <w:spacing w:before="78" w:beforeLines="25"/>
              <w:ind w:left="720" w:hanging="720"/>
              <w:rPr>
                <w:rFonts w:ascii="宋体" w:hAnsi="宋体"/>
              </w:rPr>
            </w:pPr>
            <w:r>
              <w:rPr>
                <w:rFonts w:ascii="宋体" w:hAnsi="宋体"/>
              </w:rPr>
              <w:t>每次申请部分领取的金额</w:t>
            </w:r>
            <w:r>
              <w:rPr>
                <w:rFonts w:hint="eastAsia" w:ascii="宋体" w:hAnsi="宋体"/>
              </w:rPr>
              <w:t>及</w:t>
            </w:r>
            <w:r>
              <w:rPr>
                <w:rFonts w:ascii="宋体" w:hAnsi="宋体"/>
              </w:rPr>
              <w:t>领取后的保单账户价值余额不得低于我们</w:t>
            </w:r>
            <w:r>
              <w:rPr>
                <w:rFonts w:hint="eastAsia" w:ascii="宋体" w:hAnsi="宋体"/>
              </w:rPr>
              <w:t>约定</w:t>
            </w:r>
            <w:r>
              <w:rPr>
                <w:rFonts w:ascii="宋体" w:hAnsi="宋体"/>
              </w:rPr>
              <w:t>的最低金额；如果部分领取后的保单账户价值余额低于我们</w:t>
            </w:r>
            <w:r>
              <w:rPr>
                <w:rFonts w:hint="eastAsia" w:ascii="宋体" w:hAnsi="宋体"/>
              </w:rPr>
              <w:t>约定</w:t>
            </w:r>
            <w:r>
              <w:rPr>
                <w:rFonts w:ascii="宋体" w:hAnsi="宋体"/>
              </w:rPr>
              <w:t>的最低金额，您只能书面申请解除本合同，不能申请部分领取</w:t>
            </w:r>
            <w:r>
              <w:rPr>
                <w:rFonts w:hint="eastAsia" w:ascii="宋体" w:hAnsi="宋体"/>
              </w:rPr>
              <w:t>；</w:t>
            </w:r>
          </w:p>
          <w:p>
            <w:pPr>
              <w:numPr>
                <w:ilvl w:val="0"/>
                <w:numId w:val="2"/>
              </w:numPr>
              <w:spacing w:before="78" w:beforeLines="25"/>
              <w:ind w:left="720" w:hanging="720"/>
              <w:rPr>
                <w:rFonts w:ascii="宋体" w:hAnsi="宋体"/>
              </w:rPr>
            </w:pPr>
            <w:r>
              <w:rPr>
                <w:rFonts w:hint="eastAsia" w:ascii="宋体" w:hAnsi="宋体"/>
              </w:rPr>
              <w:t>在男性被保险人年满6</w:t>
            </w:r>
            <w:r>
              <w:rPr>
                <w:rFonts w:ascii="宋体" w:hAnsi="宋体"/>
              </w:rPr>
              <w:t>0</w:t>
            </w:r>
            <w:r>
              <w:rPr>
                <w:rFonts w:hint="eastAsia" w:ascii="宋体" w:hAnsi="宋体"/>
              </w:rPr>
              <w:t>周岁之前或女性被保险人年满5</w:t>
            </w:r>
            <w:r>
              <w:rPr>
                <w:rFonts w:ascii="宋体" w:hAnsi="宋体"/>
              </w:rPr>
              <w:t>5</w:t>
            </w:r>
            <w:r>
              <w:rPr>
                <w:rFonts w:hint="eastAsia" w:ascii="宋体" w:hAnsi="宋体"/>
              </w:rPr>
              <w:t>周岁之前，</w:t>
            </w:r>
            <w:r>
              <w:rPr>
                <w:rFonts w:hint="eastAsia" w:ascii="黑体" w:hAnsi="黑体" w:eastAsia="黑体"/>
              </w:rPr>
              <w:t>每个保单年度内累计部分领取的金额不得超过本合同累计已交保险费的20％。</w:t>
            </w:r>
          </w:p>
          <w:p>
            <w:pPr>
              <w:spacing w:before="78" w:beforeLines="25"/>
              <w:rPr>
                <w:rFonts w:ascii="宋体" w:hAnsi="宋体"/>
              </w:rPr>
            </w:pPr>
            <w:r>
              <w:rPr>
                <w:rFonts w:ascii="宋体" w:hAnsi="宋体"/>
              </w:rPr>
              <w:t>您在申请部分领取保单账户价值时，须向我们提供</w:t>
            </w:r>
            <w:r>
              <w:rPr>
                <w:rFonts w:hint="eastAsia" w:ascii="宋体" w:hAnsi="宋体"/>
              </w:rPr>
              <w:t>本合同、部分领取申请书及您的</w:t>
            </w:r>
            <w:r>
              <w:rPr>
                <w:rFonts w:ascii="宋体" w:hAnsi="宋体"/>
                <w:b/>
              </w:rPr>
              <w:t>有效身份证件</w:t>
            </w:r>
            <w:r>
              <w:rPr>
                <w:rStyle w:val="14"/>
                <w:rFonts w:asciiTheme="minorEastAsia" w:hAnsiTheme="minorEastAsia" w:eastAsiaTheme="minorEastAsia"/>
                <w:b/>
              </w:rPr>
              <w:footnoteReference w:id="13"/>
            </w:r>
            <w:r>
              <w:rPr>
                <w:rFonts w:hint="eastAsia" w:ascii="宋体" w:hAnsi="宋体"/>
              </w:rPr>
              <w:t>的原件。</w:t>
            </w:r>
          </w:p>
          <w:p>
            <w:pPr>
              <w:spacing w:before="78" w:beforeLines="25"/>
              <w:rPr>
                <w:rFonts w:ascii="宋体" w:hAnsi="宋体"/>
              </w:rPr>
            </w:pPr>
            <w:r>
              <w:rPr>
                <w:rFonts w:ascii="宋体" w:hAnsi="宋体"/>
              </w:rPr>
              <w:t>对于满足</w:t>
            </w:r>
            <w:r>
              <w:rPr>
                <w:rFonts w:hint="eastAsia" w:ascii="宋体" w:hAnsi="宋体"/>
              </w:rPr>
              <w:t>上述</w:t>
            </w:r>
            <w:r>
              <w:rPr>
                <w:rFonts w:ascii="宋体" w:hAnsi="宋体"/>
              </w:rPr>
              <w:t>所列条件的，我们自接到</w:t>
            </w:r>
            <w:r>
              <w:rPr>
                <w:rFonts w:hint="eastAsia" w:ascii="宋体" w:hAnsi="宋体"/>
              </w:rPr>
              <w:t>前述要求的</w:t>
            </w:r>
            <w:r>
              <w:rPr>
                <w:rFonts w:ascii="宋体" w:hAnsi="宋体"/>
              </w:rPr>
              <w:t>证明和资料之日起30日内，</w:t>
            </w:r>
            <w:r>
              <w:rPr>
                <w:rFonts w:ascii="黑体" w:hAnsi="黑体" w:eastAsia="黑体"/>
              </w:rPr>
              <w:t>向您给付您申请部分领取的保单账户价值在扣除退保费用后的余额。您的保单账户价值在领取日按您申请部分领取的保单账户价值等额减少。</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6</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现金价值</w:t>
            </w:r>
          </w:p>
        </w:tc>
        <w:tc>
          <w:tcPr>
            <w:tcW w:w="7591" w:type="dxa"/>
            <w:gridSpan w:val="8"/>
          </w:tcPr>
          <w:p>
            <w:pPr>
              <w:spacing w:before="78" w:beforeLines="25"/>
              <w:rPr>
                <w:rFonts w:ascii="宋体" w:hAnsi="宋体"/>
              </w:rPr>
            </w:pPr>
            <w:r>
              <w:rPr>
                <w:rFonts w:hint="eastAsia" w:ascii="宋体" w:hAnsi="宋体"/>
              </w:rPr>
              <w:t>指保险单所具有的价值，通常体现为解除合同时，根据精算原理计算的、由我们退还的那部分金额。本合同的现金价值等于保单账户价值扣除相应的退保费用后的余额</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7</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保单贷款</w:t>
            </w:r>
          </w:p>
        </w:tc>
        <w:tc>
          <w:tcPr>
            <w:tcW w:w="7591" w:type="dxa"/>
            <w:gridSpan w:val="8"/>
          </w:tcPr>
          <w:p>
            <w:pPr>
              <w:pStyle w:val="16"/>
              <w:adjustRightInd/>
              <w:spacing w:before="78" w:beforeLines="25"/>
              <w:jc w:val="both"/>
              <w:rPr>
                <w:rFonts w:hAnsi="宋体" w:cs="Times New Roman"/>
                <w:color w:val="auto"/>
                <w:kern w:val="2"/>
                <w:sz w:val="21"/>
              </w:rPr>
            </w:pPr>
            <w:r>
              <w:rPr>
                <w:rFonts w:hint="eastAsia" w:hAnsi="宋体" w:cs="Times New Roman"/>
                <w:color w:val="auto"/>
                <w:kern w:val="2"/>
                <w:sz w:val="21"/>
              </w:rPr>
              <w:t>在本合同的有效期内，经被保险人书面同意，您可以申请并经我们审核同意后办理保单贷款。最高贷款金额不超过您申请时本合同的现金价值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宋体" w:hAnsi="宋体"/>
              </w:rPr>
            </w:pPr>
            <w:r>
              <w:rPr>
                <w:rFonts w:ascii="黑体" w:hAnsi="黑体" w:eastAsia="黑体"/>
              </w:rPr>
              <w:t>自贷款本金及利息加上其他各项欠款及应付利息达到</w:t>
            </w:r>
            <w:r>
              <w:rPr>
                <w:rFonts w:hint="eastAsia" w:ascii="黑体" w:hAnsi="黑体" w:eastAsia="黑体"/>
              </w:rPr>
              <w:t>本合同保单账户价值</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，本合同效力中止</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受益人</w:t>
            </w:r>
          </w:p>
        </w:tc>
        <w:tc>
          <w:tcPr>
            <w:tcW w:w="7591" w:type="dxa"/>
            <w:gridSpan w:val="8"/>
          </w:tcPr>
          <w:p>
            <w:pPr>
              <w:spacing w:before="78" w:beforeLines="25"/>
              <w:rPr>
                <w:rFonts w:asciiTheme="minorEastAsia" w:hAnsiTheme="minorEastAsia" w:eastAsiaTheme="minorEastAsia"/>
                <w:b/>
              </w:rPr>
            </w:pPr>
            <w:r>
              <w:rPr>
                <w:rFonts w:asciiTheme="minorEastAsia" w:hAnsiTheme="minorEastAsia" w:eastAsiaTheme="minorEastAsia"/>
                <w:b/>
              </w:rPr>
              <w:t>1.</w:t>
            </w:r>
            <w:r>
              <w:rPr>
                <w:rFonts w:hint="eastAsia" w:asciiTheme="minorEastAsia" w:hAnsiTheme="minorEastAsia" w:eastAsiaTheme="minorEastAsia"/>
                <w:b/>
              </w:rPr>
              <w:t>养老保险金受益人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除另有指定外，养老保险金的受益人为本合同的投保人本人。</w:t>
            </w:r>
          </w:p>
          <w:p>
            <w:pPr>
              <w:spacing w:before="78" w:beforeLines="25"/>
              <w:rPr>
                <w:rFonts w:asciiTheme="minorEastAsia" w:hAnsiTheme="minorEastAsia" w:eastAsiaTheme="minorEastAsia"/>
                <w:b/>
              </w:rPr>
            </w:pPr>
            <w:r>
              <w:rPr>
                <w:rFonts w:asciiTheme="minorEastAsia" w:hAnsiTheme="minorEastAsia" w:eastAsiaTheme="minorEastAsia"/>
                <w:b/>
              </w:rPr>
              <w:t>2</w:t>
            </w:r>
            <w:r>
              <w:rPr>
                <w:rFonts w:hint="eastAsia" w:asciiTheme="minorEastAsia" w:hAnsiTheme="minorEastAsia" w:eastAsiaTheme="minorEastAsia"/>
                <w:b/>
              </w:rPr>
              <w:t>.身故保险金受益人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您或者被保险人可以指定一人或多人为身故保险金受益人。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身故保险金受益人为多人时，可以确定受益顺序和受益份额；如果没有确定份额，各受益人按照相等份额享有受益权。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被保险人为无民事行为能力人或限制民事行为能力人的，可以由其监护人指定受益人。</w:t>
            </w:r>
          </w:p>
          <w:p>
            <w:pPr>
              <w:spacing w:before="78" w:beforeLines="25"/>
              <w:rPr>
                <w:rFonts w:asciiTheme="minorEastAsia" w:hAnsiTheme="minorEastAsia" w:eastAsiaTheme="minorEastAsia"/>
              </w:rPr>
            </w:pP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您或者被保险人可以变更身故保险金受益人并书面通知我们。我们收到变更受益人的书面通知后，在保险单或其他保险凭证上批注或附贴批单。</w:t>
            </w:r>
          </w:p>
          <w:p>
            <w:pPr>
              <w:spacing w:before="78" w:beforeLines="25"/>
              <w:rPr>
                <w:rFonts w:asciiTheme="minorEastAsia" w:hAnsiTheme="minorEastAsia" w:eastAsiaTheme="minorEastAsia"/>
              </w:rPr>
            </w:pPr>
            <w:r>
              <w:rPr>
                <w:rFonts w:hint="eastAsia" w:asciiTheme="minorEastAsia" w:hAnsiTheme="minorEastAsia" w:eastAsiaTheme="minorEastAsia"/>
              </w:rPr>
              <w:t>您在指定和变更身故保险金受益人时，必须经过被保险人同意。</w:t>
            </w:r>
          </w:p>
          <w:p>
            <w:pPr>
              <w:spacing w:before="78" w:beforeLines="25"/>
              <w:rPr>
                <w:rFonts w:asciiTheme="minorEastAsia" w:hAnsiTheme="minorEastAsia" w:eastAsiaTheme="minorEastAsia"/>
              </w:rPr>
            </w:pPr>
            <w:r>
              <w:rPr>
                <w:rFonts w:hint="eastAsia" w:asciiTheme="minorEastAsia" w:hAnsiTheme="minorEastAsia" w:eastAsiaTheme="minorEastAsia"/>
              </w:rPr>
              <w:t>受益人故意造成被保险人身故、伤残、疾病的，或者故意杀害被保险人未遂的，该受益人丧失受益权。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被保险人身故后，有下列情形之一的，保险金作为被保险人的遗产，由我们依照关于继承的法律法规履行给付保险金的义务：</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没有指定受益人，或者受益人指定不明无法确定的；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受益人先于被保险人身故，没有其他受益人的；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受益人依法丧失受益权或者放弃受益权，没有其他受益人的。</w:t>
            </w:r>
          </w:p>
          <w:p>
            <w:pPr>
              <w:spacing w:before="78" w:beforeLines="25"/>
              <w:rPr>
                <w:rFonts w:asciiTheme="minorEastAsia" w:hAnsiTheme="minorEastAsia" w:eastAsiaTheme="minorEastAsia"/>
              </w:rPr>
            </w:pPr>
            <w:r>
              <w:rPr>
                <w:rFonts w:hint="eastAsia" w:asciiTheme="minorEastAsia" w:hAnsiTheme="minorEastAsia" w:eastAsiaTheme="minorEastAsia"/>
              </w:rPr>
              <w:t>受益人与被保险人在同一事件中身故，且不能确定身故先后顺序的，推定受益人身故在先。</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5.2</w:t>
            </w:r>
          </w:p>
        </w:tc>
        <w:tc>
          <w:tcPr>
            <w:tcW w:w="1555" w:type="dxa"/>
            <w:gridSpan w:val="2"/>
          </w:tcPr>
          <w:p>
            <w:pPr>
              <w:spacing w:before="78" w:beforeLines="25"/>
              <w:jc w:val="left"/>
              <w:rPr>
                <w:rFonts w:ascii="宋体" w:hAnsi="宋体"/>
                <w:b/>
              </w:rPr>
            </w:pPr>
            <w:r>
              <w:rPr>
                <w:rFonts w:hint="eastAsia" w:ascii="宋体" w:hAnsi="宋体"/>
                <w:b/>
              </w:rPr>
              <w:t>保险事故通知</w:t>
            </w:r>
          </w:p>
          <w:p>
            <w:pPr>
              <w:spacing w:before="78" w:beforeLines="25"/>
              <w:rPr>
                <w:rFonts w:ascii="宋体" w:hAnsi="宋体"/>
                <w:b/>
              </w:rPr>
            </w:pP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您、被保险人或受益人知道保险事故发生后应当在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黑体" w:hAnsi="黑体" w:eastAsia="黑体"/>
              </w:rPr>
              <w:t>如果您、被保险人或受益人故意或者因重大过失未及时通知，致使保险事故的性质、原因、损失程度等难以确定的，我们对无法确定的部分不承担保险责任</w:t>
            </w:r>
            <w:r>
              <w:rPr>
                <w:rFonts w:hint="eastAsia" w:asciiTheme="minorEastAsia" w:hAnsiTheme="minorEastAsia" w:eastAsiaTheme="minorEastAsia"/>
              </w:rPr>
              <w:t>，但我们通过其他途径已经及时知道或者应当及时知道保险事故发生或者虽未及时通知但不影响我们确定保险事故的性质、原因、损失程度的除外。</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w:t>
            </w:r>
            <w:r>
              <w:rPr>
                <w:rFonts w:hint="eastAsia" w:ascii="宋体" w:hAnsi="宋体"/>
                <w:b/>
              </w:rPr>
              <w:t>3</w:t>
            </w:r>
          </w:p>
        </w:tc>
        <w:tc>
          <w:tcPr>
            <w:tcW w:w="1555" w:type="dxa"/>
            <w:gridSpan w:val="2"/>
          </w:tcPr>
          <w:p>
            <w:pPr>
              <w:spacing w:before="78" w:beforeLines="25"/>
              <w:jc w:val="left"/>
              <w:rPr>
                <w:rFonts w:ascii="宋体" w:hAnsi="宋体"/>
                <w:b/>
              </w:rPr>
            </w:pPr>
            <w:r>
              <w:rPr>
                <w:rFonts w:hint="eastAsia" w:ascii="宋体" w:hAnsi="宋体"/>
                <w:b/>
              </w:rPr>
              <w:t>保险金申请</w:t>
            </w:r>
          </w:p>
        </w:tc>
        <w:tc>
          <w:tcPr>
            <w:tcW w:w="7591" w:type="dxa"/>
            <w:gridSpan w:val="8"/>
          </w:tcPr>
          <w:p>
            <w:pPr>
              <w:spacing w:before="78" w:beforeLines="25"/>
              <w:rPr>
                <w:rFonts w:ascii="宋体" w:hAnsi="宋体"/>
              </w:rPr>
            </w:pPr>
            <w:r>
              <w:rPr>
                <w:rFonts w:ascii="宋体" w:hAnsi="宋体"/>
              </w:rPr>
              <w:t>申请保险金时，</w:t>
            </w:r>
            <w:r>
              <w:rPr>
                <w:rFonts w:hint="eastAsia" w:ascii="宋体" w:hAnsi="宋体"/>
              </w:rPr>
              <w:t>由相应保险金受益人作为申请人填写保险金给付申请书，并提供下列证明和资料：</w:t>
            </w:r>
          </w:p>
          <w:p>
            <w:pPr>
              <w:spacing w:before="78" w:beforeLines="25"/>
              <w:rPr>
                <w:rFonts w:ascii="宋体" w:hAnsi="宋体"/>
                <w:b/>
              </w:rPr>
            </w:pPr>
            <w:r>
              <w:rPr>
                <w:rFonts w:hint="eastAsia" w:ascii="宋体" w:hAnsi="宋体"/>
                <w:b/>
              </w:rPr>
              <w:t>1.养老保险金申请所需的证明和资料</w:t>
            </w:r>
          </w:p>
          <w:p>
            <w:pPr>
              <w:numPr>
                <w:ilvl w:val="0"/>
                <w:numId w:val="4"/>
              </w:numPr>
              <w:spacing w:before="78" w:beforeLines="25"/>
              <w:rPr>
                <w:rFonts w:ascii="宋体" w:hAnsi="宋体"/>
              </w:rPr>
            </w:pPr>
            <w:r>
              <w:rPr>
                <w:rFonts w:hint="eastAsia" w:ascii="宋体" w:hAnsi="宋体"/>
              </w:rPr>
              <w:t>保险</w:t>
            </w:r>
            <w:r>
              <w:rPr>
                <w:rFonts w:ascii="宋体" w:hAnsi="宋体"/>
              </w:rPr>
              <w:t>合同；</w:t>
            </w:r>
          </w:p>
          <w:p>
            <w:pPr>
              <w:numPr>
                <w:ilvl w:val="0"/>
                <w:numId w:val="4"/>
              </w:numPr>
              <w:spacing w:before="78" w:beforeLines="25"/>
              <w:rPr>
                <w:rFonts w:ascii="宋体" w:hAnsi="宋体"/>
              </w:rPr>
            </w:pPr>
            <w:r>
              <w:rPr>
                <w:rFonts w:hint="eastAsia" w:ascii="宋体" w:hAnsi="宋体"/>
              </w:rPr>
              <w:t>申请</w:t>
            </w:r>
            <w:r>
              <w:rPr>
                <w:rFonts w:ascii="宋体" w:hAnsi="宋体"/>
              </w:rPr>
              <w:t>人</w:t>
            </w:r>
            <w:r>
              <w:rPr>
                <w:rFonts w:hint="eastAsia" w:ascii="宋体" w:hAnsi="宋体"/>
              </w:rPr>
              <w:t>及被保险人</w:t>
            </w:r>
            <w:r>
              <w:rPr>
                <w:rFonts w:ascii="宋体" w:hAnsi="宋体"/>
              </w:rPr>
              <w:t>的有效身份证件；</w:t>
            </w:r>
          </w:p>
          <w:p>
            <w:pPr>
              <w:numPr>
                <w:ilvl w:val="0"/>
                <w:numId w:val="4"/>
              </w:numPr>
              <w:spacing w:before="78" w:beforeLines="25"/>
              <w:rPr>
                <w:rFonts w:ascii="宋体" w:hAnsi="宋体"/>
              </w:rPr>
            </w:pPr>
            <w:r>
              <w:rPr>
                <w:rFonts w:hint="eastAsia" w:ascii="宋体" w:hAnsi="宋体"/>
              </w:rPr>
              <w:t>所能提供的</w:t>
            </w:r>
            <w:r>
              <w:rPr>
                <w:rFonts w:ascii="宋体" w:hAnsi="宋体"/>
              </w:rPr>
              <w:t>与确认保险事故的性质、原因等有关的其他证明和资料</w:t>
            </w:r>
            <w:r>
              <w:rPr>
                <w:rFonts w:hint="eastAsia" w:ascii="宋体" w:hAnsi="宋体"/>
              </w:rPr>
              <w:t>。</w:t>
            </w:r>
          </w:p>
          <w:p>
            <w:pPr>
              <w:spacing w:before="78" w:beforeLines="25"/>
              <w:rPr>
                <w:rFonts w:ascii="宋体" w:hAnsi="宋体"/>
                <w:b/>
              </w:rPr>
            </w:pPr>
            <w:r>
              <w:rPr>
                <w:rFonts w:hint="eastAsia" w:ascii="宋体" w:hAnsi="宋体"/>
                <w:b/>
              </w:rPr>
              <w:t>2</w:t>
            </w:r>
            <w:r>
              <w:rPr>
                <w:rFonts w:ascii="宋体" w:hAnsi="宋体"/>
                <w:b/>
              </w:rPr>
              <w:t>.</w:t>
            </w:r>
            <w:r>
              <w:rPr>
                <w:rFonts w:hint="eastAsia" w:ascii="宋体" w:hAnsi="宋体"/>
                <w:b/>
              </w:rPr>
              <w:t>身故保险金申请所需的证明和资料</w:t>
            </w:r>
          </w:p>
          <w:p>
            <w:pPr>
              <w:numPr>
                <w:ilvl w:val="0"/>
                <w:numId w:val="5"/>
              </w:numPr>
              <w:spacing w:before="78" w:beforeLines="25"/>
              <w:ind w:left="720" w:hanging="720"/>
              <w:rPr>
                <w:rFonts w:ascii="宋体" w:hAnsi="宋体"/>
              </w:rPr>
            </w:pPr>
            <w:r>
              <w:rPr>
                <w:rFonts w:hint="eastAsia" w:ascii="宋体" w:hAnsi="宋体"/>
              </w:rPr>
              <w:t>保险合同；</w:t>
            </w:r>
          </w:p>
          <w:p>
            <w:pPr>
              <w:numPr>
                <w:ilvl w:val="0"/>
                <w:numId w:val="5"/>
              </w:numPr>
              <w:spacing w:before="78" w:beforeLines="25"/>
              <w:ind w:left="720" w:hanging="720"/>
              <w:rPr>
                <w:rFonts w:ascii="宋体" w:hAnsi="宋体"/>
              </w:rPr>
            </w:pPr>
            <w:r>
              <w:rPr>
                <w:rFonts w:hint="eastAsia" w:ascii="宋体" w:hAnsi="宋体"/>
              </w:rPr>
              <w:t>申请人的有效身份证件；</w:t>
            </w:r>
          </w:p>
          <w:p>
            <w:pPr>
              <w:numPr>
                <w:ilvl w:val="0"/>
                <w:numId w:val="5"/>
              </w:numPr>
              <w:spacing w:before="78" w:beforeLines="25"/>
              <w:ind w:left="720" w:hanging="720"/>
              <w:rPr>
                <w:rFonts w:ascii="宋体" w:hAnsi="宋体"/>
              </w:rPr>
            </w:pPr>
            <w:r>
              <w:rPr>
                <w:rFonts w:hint="eastAsia" w:ascii="宋体" w:hAnsi="宋体"/>
              </w:rPr>
              <w:t>国家卫生行政部门认定的医疗机构、公安部门或其他相关机构出具的被保险人的死亡证明；</w:t>
            </w:r>
          </w:p>
          <w:p>
            <w:pPr>
              <w:numPr>
                <w:ilvl w:val="0"/>
                <w:numId w:val="5"/>
              </w:numPr>
              <w:spacing w:before="78" w:beforeLines="25"/>
              <w:ind w:left="720" w:hanging="720"/>
              <w:rPr>
                <w:rFonts w:ascii="宋体" w:hAnsi="宋体"/>
              </w:rPr>
            </w:pPr>
            <w:r>
              <w:rPr>
                <w:rFonts w:hint="eastAsia" w:ascii="宋体" w:hAnsi="宋体"/>
              </w:rPr>
              <w:t>所能提供的与确认保险事故的性质、原因等有关的其他证明和资料。</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r>
              <w:rPr>
                <w:rFonts w:ascii="黑体" w:hAnsi="黑体" w:eastAsia="黑体"/>
              </w:rPr>
              <w:t>保险金作为被保险人遗产时，继承人还须提供可证明其合法继承权的相关权利文件。</w:t>
            </w:r>
          </w:p>
          <w:p>
            <w:pPr>
              <w:spacing w:before="78" w:beforeLines="25"/>
              <w:rPr>
                <w:rFonts w:ascii="宋体" w:hAnsi="宋体"/>
              </w:rPr>
            </w:pPr>
            <w:r>
              <w:rPr>
                <w:rFonts w:hint="eastAsia" w:ascii="宋体" w:hAnsi="宋体"/>
              </w:rPr>
              <w:t>以上证明和资料不完整的，我们将及时一次性通知申请人补充提供。</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r>
              <w:rPr>
                <w:rFonts w:hint="eastAsia" w:ascii="宋体" w:hAnsi="宋体"/>
                <w:b/>
              </w:rPr>
              <w:t>5.4</w:t>
            </w:r>
          </w:p>
        </w:tc>
        <w:tc>
          <w:tcPr>
            <w:tcW w:w="1555" w:type="dxa"/>
            <w:gridSpan w:val="2"/>
          </w:tcPr>
          <w:p>
            <w:pPr>
              <w:spacing w:before="78" w:beforeLines="25"/>
              <w:jc w:val="left"/>
              <w:rPr>
                <w:rFonts w:ascii="宋体" w:hAnsi="宋体" w:eastAsia="楷体_GB2312"/>
                <w:b/>
                <w:szCs w:val="21"/>
              </w:rPr>
            </w:pPr>
            <w:r>
              <w:rPr>
                <w:rFonts w:hint="eastAsia" w:ascii="宋体" w:hAnsi="宋体"/>
                <w:b/>
              </w:rPr>
              <w:t>保险金给付</w:t>
            </w:r>
          </w:p>
        </w:tc>
        <w:tc>
          <w:tcPr>
            <w:tcW w:w="7591" w:type="dxa"/>
            <w:gridSpan w:val="8"/>
          </w:tcPr>
          <w:p>
            <w:pPr>
              <w:spacing w:before="78" w:beforeLines="25"/>
              <w:rPr>
                <w:rFonts w:ascii="宋体" w:hAnsi="宋体"/>
              </w:rPr>
            </w:pPr>
            <w:r>
              <w:rPr>
                <w:rFonts w:hint="eastAsia" w:ascii="宋体" w:hAnsi="宋体"/>
              </w:rPr>
              <w:t>我们在收到保险金给付申请书及保险金申请所需证明和资料后，将在5日内作出核定；情形复杂的，在30日内作出核定。若我们要求投保人、被保险人或者受益人补充提供有关证明和资料的，则上述的30日不包括补充提供有关证明和资料的期间。</w:t>
            </w:r>
          </w:p>
          <w:p>
            <w:pPr>
              <w:spacing w:before="78" w:beforeLines="25"/>
              <w:rPr>
                <w:rFonts w:ascii="宋体" w:hAnsi="宋体"/>
              </w:rPr>
            </w:pPr>
            <w:r>
              <w:rPr>
                <w:rFonts w:hint="eastAsia" w:ascii="宋体" w:hAnsi="宋体"/>
              </w:rPr>
              <w:t>经我们核定属于保险责任的，我们在与受益人达成有关给付保险金数额的协议后10日内，履行给付保险金义务。</w:t>
            </w:r>
          </w:p>
          <w:p>
            <w:pPr>
              <w:spacing w:before="78" w:beforeLines="25"/>
              <w:rPr>
                <w:rFonts w:ascii="宋体" w:hAnsi="宋体"/>
              </w:rPr>
            </w:pPr>
            <w:r>
              <w:rPr>
                <w:rFonts w:hint="eastAsia" w:ascii="宋体" w:hAnsi="宋体"/>
              </w:rPr>
              <w:t>我们未及时履行前款规定义务的，将赔偿受益人因此受到的损失。前述“损失”指根据我们确定的利率按单利计算的利息损失，我们确定的利率不低于中国人民银行公布的金融机构人民币活期存款基准利率。</w:t>
            </w:r>
          </w:p>
          <w:p>
            <w:pPr>
              <w:spacing w:before="78" w:beforeLines="25"/>
              <w:rPr>
                <w:rFonts w:ascii="宋体" w:hAnsi="宋体"/>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tabs>
                <w:tab w:val="left" w:pos="501"/>
              </w:tabs>
              <w:spacing w:before="78" w:beforeLines="25"/>
              <w:rPr>
                <w:rFonts w:ascii="宋体" w:hAnsi="宋体"/>
                <w:b/>
              </w:rPr>
            </w:pPr>
            <w:r>
              <w:rPr>
                <w:rFonts w:hint="eastAsia" w:ascii="宋体" w:hAnsi="宋体"/>
                <w:b/>
              </w:rPr>
              <w:t>5.5</w:t>
            </w:r>
          </w:p>
        </w:tc>
        <w:tc>
          <w:tcPr>
            <w:tcW w:w="1555" w:type="dxa"/>
            <w:gridSpan w:val="2"/>
          </w:tcPr>
          <w:p>
            <w:pPr>
              <w:spacing w:before="78" w:beforeLines="25"/>
              <w:rPr>
                <w:rFonts w:ascii="宋体" w:hAnsi="宋体"/>
                <w:b/>
              </w:rPr>
            </w:pPr>
            <w:r>
              <w:rPr>
                <w:rFonts w:hint="eastAsia" w:ascii="宋体" w:hAnsi="宋体"/>
                <w:b/>
              </w:rPr>
              <w:t>宣告死亡处理</w:t>
            </w:r>
          </w:p>
        </w:tc>
        <w:tc>
          <w:tcPr>
            <w:tcW w:w="7591" w:type="dxa"/>
            <w:gridSpan w:val="8"/>
          </w:tcPr>
          <w:p>
            <w:pPr>
              <w:spacing w:before="78" w:beforeLines="25"/>
              <w:rPr>
                <w:rFonts w:ascii="宋体" w:hAnsi="宋体"/>
              </w:rPr>
            </w:pPr>
            <w:r>
              <w:rPr>
                <w:rFonts w:hint="eastAsia" w:ascii="宋体" w:hAnsi="宋体"/>
              </w:rPr>
              <w:t>在本合同保险期间内，被保险人下落不明且经人民法院宣告被保险人死亡的，我们根据人民法院宣告死亡判决依法确定被保险人死亡日期，并按本条款与身故有关的约定处理。若被保险人在宣告死亡后重新出现，身故保险金受益人或继承人应于知道或应该知道被保险人重新出现后30日内将领取的身故保险金退还给我们。</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6</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犹豫期</w:t>
            </w:r>
          </w:p>
        </w:tc>
        <w:tc>
          <w:tcPr>
            <w:tcW w:w="7591" w:type="dxa"/>
            <w:gridSpan w:val="8"/>
          </w:tcPr>
          <w:p>
            <w:pPr>
              <w:spacing w:before="78" w:beforeLines="25"/>
              <w:rPr>
                <w:rFonts w:asciiTheme="minorEastAsia" w:hAnsiTheme="minorEastAsia" w:eastAsiaTheme="minorEastAsia"/>
              </w:rPr>
            </w:pPr>
            <w:r>
              <w:rPr>
                <w:rFonts w:hint="eastAsia" w:ascii="宋体" w:hAnsi="宋体"/>
              </w:rPr>
              <w:t>自您</w:t>
            </w:r>
            <w:r>
              <w:rPr>
                <w:rFonts w:hint="eastAsia" w:ascii="宋体" w:hAnsi="宋体"/>
                <w:b/>
              </w:rPr>
              <w:t>签收本合同之日</w:t>
            </w:r>
            <w:r>
              <w:rPr>
                <w:rStyle w:val="14"/>
                <w:rFonts w:ascii="宋体" w:hAnsi="宋体"/>
                <w:b/>
              </w:rPr>
              <w:footnoteReference w:id="14"/>
            </w:r>
            <w:r>
              <w:rPr>
                <w:rFonts w:hint="eastAsia" w:ascii="宋体" w:hAnsi="宋体"/>
              </w:rPr>
              <w:t>起，有</w:t>
            </w:r>
            <w:r>
              <w:rPr>
                <w:rFonts w:hint="eastAsia" w:ascii="黑体" w:hAnsi="黑体" w:eastAsia="黑体"/>
              </w:rPr>
              <w:t>15日</w:t>
            </w:r>
            <w:r>
              <w:rPr>
                <w:rFonts w:hint="eastAsia" w:ascii="宋体" w:hAnsi="宋体"/>
              </w:rPr>
              <w:t>的犹豫期。</w:t>
            </w:r>
            <w:r>
              <w:rPr>
                <w:rFonts w:hint="eastAsia" w:asciiTheme="minorEastAsia" w:hAnsiTheme="minorEastAsia" w:eastAsiaTheme="minorEastAsia"/>
              </w:rPr>
              <w:t>在此期间请您认真审视本合同，如果您认为本合同与您的需求不相符，您可以在此期间提出解除本合同，我们将退还您所支付的全部保险费。</w:t>
            </w:r>
          </w:p>
          <w:p>
            <w:pPr>
              <w:spacing w:before="78" w:beforeLines="25"/>
              <w:rPr>
                <w:rFonts w:ascii="黑体" w:hAnsi="黑体" w:eastAsia="黑体"/>
              </w:rPr>
            </w:pPr>
            <w:r>
              <w:rPr>
                <w:rFonts w:hint="eastAsia" w:asciiTheme="minorEastAsia" w:hAnsiTheme="minorEastAsia" w:eastAsiaTheme="minorEastAsia"/>
              </w:rPr>
              <w:t>解除本合同时，您需要填写解除合同通知书，并提供您的保险合同及有效身份证件。</w:t>
            </w:r>
            <w:r>
              <w:rPr>
                <w:rFonts w:hint="eastAsia" w:ascii="黑体" w:hAnsi="黑体" w:eastAsia="黑体"/>
              </w:rPr>
              <w:t>自我们收到您解除合同的通知书时，本合同即被解除，合同解除前发生的保险事故我们不承担保险责任。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jc w:val="left"/>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.2</w:t>
            </w:r>
          </w:p>
        </w:tc>
        <w:tc>
          <w:tcPr>
            <w:tcW w:w="1555" w:type="dxa"/>
            <w:gridSpan w:val="2"/>
          </w:tcPr>
          <w:p>
            <w:pPr>
              <w:spacing w:before="78" w:beforeLines="25"/>
              <w:jc w:val="left"/>
              <w:rPr>
                <w:rFonts w:ascii="宋体" w:hAnsi="宋体"/>
                <w:b/>
              </w:rPr>
            </w:pPr>
            <w:r>
              <w:rPr>
                <w:rFonts w:hint="eastAsia" w:ascii="宋体" w:hAnsi="宋体"/>
                <w:b/>
              </w:rPr>
              <w:t>您解除合同的手续及风险</w:t>
            </w: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本合同成立后，您可以解除本合同，请填写解除合同通知书并向我们提供下列证明和资料：</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 xml:space="preserve">保险合同； </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您的有效身份证件。</w:t>
            </w:r>
          </w:p>
          <w:p>
            <w:pPr>
              <w:spacing w:before="78" w:beforeLines="25"/>
              <w:rPr>
                <w:rFonts w:ascii="黑体" w:hAnsi="黑体" w:eastAsia="黑体"/>
              </w:rPr>
            </w:pPr>
            <w:r>
              <w:rPr>
                <w:rFonts w:hint="eastAsia" w:asciiTheme="minorEastAsia" w:hAnsiTheme="minorEastAsia" w:eastAsiaTheme="minorEastAsia"/>
              </w:rPr>
              <w:t>自我们收到解除合同通知书时起，本合同终止。您在犹豫期后解除本合同的，我们自收到解除合同通知书之日起30日内向您退还本合同的现金价值。</w:t>
            </w:r>
          </w:p>
          <w:p>
            <w:pPr>
              <w:spacing w:before="78" w:beforeLines="25"/>
              <w:rPr>
                <w:rFonts w:ascii="黑体" w:hAnsi="黑体" w:eastAsia="黑体"/>
              </w:rPr>
            </w:pPr>
            <w:r>
              <w:rPr>
                <w:rFonts w:hint="eastAsia" w:ascii="黑体" w:hAnsi="黑体" w:eastAsia="黑体"/>
              </w:rPr>
              <w:t>您在犹豫期后解除合同可能会遭受一定损失</w:t>
            </w:r>
            <w:r>
              <w:rPr>
                <w:rFonts w:hint="eastAsia" w:ascii="黑体" w:hAnsi="宋体" w:eastAsia="黑体"/>
              </w:rPr>
              <w:t>。</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7.1</w:t>
            </w:r>
          </w:p>
        </w:tc>
        <w:tc>
          <w:tcPr>
            <w:tcW w:w="1555" w:type="dxa"/>
            <w:gridSpan w:val="2"/>
          </w:tcPr>
          <w:p>
            <w:pPr>
              <w:spacing w:before="78" w:beforeLines="25"/>
              <w:jc w:val="left"/>
              <w:rPr>
                <w:rFonts w:ascii="宋体" w:hAnsi="宋体"/>
                <w:b/>
              </w:rPr>
            </w:pPr>
            <w:r>
              <w:rPr>
                <w:rFonts w:hint="eastAsia" w:ascii="宋体" w:hAnsi="宋体"/>
                <w:b/>
              </w:rPr>
              <w:t>合同构成</w:t>
            </w:r>
          </w:p>
        </w:tc>
        <w:tc>
          <w:tcPr>
            <w:tcW w:w="7591" w:type="dxa"/>
            <w:gridSpan w:val="8"/>
          </w:tcPr>
          <w:p>
            <w:pPr>
              <w:spacing w:before="78" w:beforeLines="25"/>
              <w:rPr>
                <w:rFonts w:ascii="宋体" w:hAnsi="宋体"/>
              </w:rPr>
            </w:pPr>
            <w:r>
              <w:rPr>
                <w:rFonts w:hint="eastAsia" w:ascii="宋体" w:hAnsi="宋体"/>
              </w:rPr>
              <w:t>泰康颐瑞2号养老年金保险（万能型）合同（简称本合同）由本保险条款、保险单或其他保险凭证、投保单、与本合同有关的投保文件、声明、批注、批单以及与本合同有关的其他书面材料共同构成</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7.2</w:t>
            </w:r>
          </w:p>
        </w:tc>
        <w:tc>
          <w:tcPr>
            <w:tcW w:w="1555" w:type="dxa"/>
            <w:gridSpan w:val="2"/>
          </w:tcPr>
          <w:p>
            <w:pPr>
              <w:spacing w:before="78" w:beforeLines="25"/>
              <w:jc w:val="left"/>
              <w:rPr>
                <w:rFonts w:ascii="宋体" w:hAnsi="宋体"/>
                <w:b/>
              </w:rPr>
            </w:pPr>
            <w:r>
              <w:rPr>
                <w:rFonts w:hint="eastAsia" w:ascii="宋体" w:hAnsi="宋体"/>
                <w:b/>
              </w:rPr>
              <w:t>合同成立与生效</w:t>
            </w:r>
          </w:p>
        </w:tc>
        <w:tc>
          <w:tcPr>
            <w:tcW w:w="7591" w:type="dxa"/>
            <w:gridSpan w:val="8"/>
          </w:tcPr>
          <w:p>
            <w:pPr>
              <w:spacing w:before="78" w:beforeLines="25"/>
              <w:rPr>
                <w:rFonts w:ascii="宋体" w:hAnsi="宋体"/>
              </w:rPr>
            </w:pPr>
            <w:r>
              <w:rPr>
                <w:rFonts w:hint="eastAsia" w:ascii="宋体" w:hAnsi="宋体"/>
              </w:rPr>
              <w:t>您提出保险申请且我们同意承保，本合同成立。本合同成立日期在保险单上载明。</w:t>
            </w:r>
          </w:p>
          <w:p>
            <w:pPr>
              <w:spacing w:before="78" w:beforeLines="25"/>
              <w:rPr>
                <w:rFonts w:ascii="宋体" w:hAnsi="宋体"/>
              </w:rPr>
            </w:pPr>
            <w:r>
              <w:rPr>
                <w:rFonts w:hint="eastAsia" w:ascii="宋体" w:hAnsi="宋体"/>
              </w:rPr>
              <w:t>本合同生效日期在保险单上载明。保单年度以本合同的生效日期为基础进行计算。</w:t>
            </w:r>
          </w:p>
          <w:p>
            <w:pPr>
              <w:spacing w:before="78" w:beforeLines="25"/>
              <w:rPr>
                <w:rFonts w:ascii="楷体_GB2312" w:hAnsi="宋体" w:eastAsia="楷体_GB2312"/>
              </w:rPr>
            </w:pPr>
            <w:r>
              <w:rPr>
                <w:rFonts w:hint="eastAsia" w:ascii="宋体" w:hAnsi="宋体"/>
              </w:rPr>
              <w:t>除另有约定外，我们自本合同生效日零时起开始承担保险责任。</w:t>
            </w:r>
          </w:p>
        </w:tc>
      </w:tr>
      <w:tr>
        <w:tblPrEx>
          <w:tblCellMar>
            <w:top w:w="0" w:type="dxa"/>
            <w:left w:w="108" w:type="dxa"/>
            <w:bottom w:w="0" w:type="dxa"/>
            <w:right w:w="108" w:type="dxa"/>
          </w:tblCellMar>
        </w:tblPrEx>
        <w:trPr>
          <w:trHeight w:val="170" w:hRule="exact"/>
        </w:trPr>
        <w:tc>
          <w:tcPr>
            <w:tcW w:w="668" w:type="dxa"/>
          </w:tcPr>
          <w:p>
            <w:pPr>
              <w:tabs>
                <w:tab w:val="left" w:pos="426"/>
              </w:tabs>
              <w:spacing w:before="78" w:beforeLines="25"/>
              <w:rPr>
                <w:rFonts w:ascii="宋体" w:hAnsi="宋体"/>
                <w:b/>
              </w:rPr>
            </w:pPr>
            <w:r>
              <w:rPr>
                <w:rFonts w:ascii="宋体" w:hAnsi="宋体"/>
                <w:b/>
              </w:rPr>
              <w:tab/>
            </w:r>
          </w:p>
        </w:tc>
        <w:tc>
          <w:tcPr>
            <w:tcW w:w="1555" w:type="dxa"/>
            <w:gridSpan w:val="2"/>
          </w:tcPr>
          <w:p>
            <w:pPr>
              <w:spacing w:before="78" w:beforeLines="25"/>
              <w:rPr>
                <w:rFonts w:ascii="宋体" w:hAnsi="宋体"/>
                <w:b/>
                <w:szCs w:val="21"/>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146" w:type="dxa"/>
            <w:gridSpan w:val="10"/>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shd w:val="clear" w:color="auto" w:fill="auto"/>
            <w:vAlign w:val="center"/>
          </w:tcPr>
          <w:p>
            <w:pPr>
              <w:spacing w:before="78" w:beforeLines="25"/>
              <w:rPr>
                <w:rFonts w:ascii="宋体" w:hAnsi="宋体"/>
                <w:b/>
                <w:sz w:val="24"/>
              </w:rPr>
            </w:pPr>
          </w:p>
        </w:tc>
        <w:tc>
          <w:tcPr>
            <w:tcW w:w="9146" w:type="dxa"/>
            <w:gridSpan w:val="10"/>
            <w:tcBorders>
              <w:top w:val="single" w:color="auto" w:sz="8" w:space="0"/>
            </w:tcBorders>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明确说明</w:t>
            </w:r>
            <w:r>
              <w:rPr>
                <w:rFonts w:ascii="宋体" w:hAnsi="宋体"/>
                <w:b/>
                <w:szCs w:val="21"/>
              </w:rPr>
              <w:t>与如实告知</w:t>
            </w:r>
          </w:p>
        </w:tc>
        <w:tc>
          <w:tcPr>
            <w:tcW w:w="7591" w:type="dxa"/>
            <w:gridSpan w:val="8"/>
            <w:shd w:val="clear" w:color="auto" w:fill="auto"/>
          </w:tcPr>
          <w:p>
            <w:pPr>
              <w:spacing w:before="78" w:beforeLines="25"/>
              <w:rPr>
                <w:rFonts w:ascii="宋体" w:hAnsi="宋体"/>
                <w:szCs w:val="21"/>
              </w:rPr>
            </w:pPr>
            <w:r>
              <w:rPr>
                <w:rFonts w:hint="eastAsia" w:ascii="宋体" w:hAnsi="宋体"/>
                <w:szCs w:val="21"/>
              </w:rPr>
              <w:t>订立本合同时，我们应当向您说明本合同的内容。对保险条款中免除我们责任的条款，我们在订立合同时应当在投保单、保险单或者其他保险凭证上作出足以引起您注意的提示，并对该条款的内容以书面或者口头形式向您作出明确说明，未作提示或者明确说明的，该条款不成为合同的内容。</w:t>
            </w:r>
          </w:p>
          <w:p>
            <w:pPr>
              <w:spacing w:before="78" w:beforeLines="25"/>
              <w:rPr>
                <w:rFonts w:ascii="宋体" w:hAnsi="宋体"/>
                <w:szCs w:val="21"/>
              </w:rPr>
            </w:pPr>
            <w:r>
              <w:rPr>
                <w:rFonts w:hint="eastAsia" w:ascii="宋体" w:hAnsi="宋体"/>
                <w:szCs w:val="21"/>
              </w:rPr>
              <w:t>订立本合同时，我们就您和被保险人的有关情况提出询问，您应当如实告知。</w:t>
            </w:r>
          </w:p>
          <w:p>
            <w:pPr>
              <w:spacing w:before="78" w:beforeLines="25"/>
              <w:rPr>
                <w:rFonts w:ascii="黑体" w:hAnsi="黑体" w:eastAsia="黑体"/>
                <w:szCs w:val="21"/>
              </w:rPr>
            </w:pPr>
            <w:r>
              <w:rPr>
                <w:rFonts w:hint="eastAsia" w:ascii="黑体" w:hAnsi="黑体" w:eastAsia="黑体"/>
                <w:szCs w:val="21"/>
              </w:rPr>
              <w:t>如果您故意或者因重大过失未履行前款规定的如实告知义务，足以影响我们决定是否同意承保的，我们有权解除本合同，本合同自解除之日起终止。</w:t>
            </w:r>
          </w:p>
          <w:p>
            <w:pPr>
              <w:spacing w:before="78" w:beforeLines="25"/>
              <w:rPr>
                <w:rFonts w:ascii="黑体" w:hAnsi="黑体" w:eastAsia="黑体"/>
                <w:szCs w:val="21"/>
              </w:rPr>
            </w:pPr>
            <w:r>
              <w:rPr>
                <w:rFonts w:hint="eastAsia" w:ascii="黑体" w:hAnsi="黑体" w:eastAsia="黑体"/>
                <w:szCs w:val="21"/>
              </w:rPr>
              <w:t>如果您故意不履行如实告知义务，对于本合同解除前发生的保险事故，我们不承担保险责任，但可以向您退还本合同终止之日的现金价值。</w:t>
            </w:r>
          </w:p>
          <w:p>
            <w:pPr>
              <w:spacing w:before="78" w:beforeLines="25"/>
              <w:rPr>
                <w:rFonts w:ascii="宋体" w:hAnsi="宋体"/>
                <w:b/>
                <w:sz w:val="24"/>
              </w:rPr>
            </w:pPr>
            <w:r>
              <w:rPr>
                <w:rFonts w:hint="eastAsia" w:ascii="黑体" w:hAnsi="黑体" w:eastAsia="黑体"/>
                <w:szCs w:val="21"/>
              </w:rPr>
              <w:t>如果您因重大过失未履行如实告知义务，对保险事故的发生有严重影响的，对于本合同解除前发生的保险事故，我们不承担保险责任，但会向您退还保险费，退还时需扣除您累计已申请部分领取的金额。</w:t>
            </w: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8.2</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本公司合同解除权的限制</w:t>
            </w:r>
          </w:p>
        </w:tc>
        <w:tc>
          <w:tcPr>
            <w:tcW w:w="7591" w:type="dxa"/>
            <w:gridSpan w:val="8"/>
            <w:shd w:val="clear" w:color="auto" w:fill="auto"/>
          </w:tcPr>
          <w:p>
            <w:pPr>
              <w:spacing w:before="78" w:beforeLines="25"/>
              <w:rPr>
                <w:rFonts w:ascii="宋体" w:hAnsi="宋体"/>
              </w:rPr>
            </w:pPr>
            <w:r>
              <w:rPr>
                <w:rFonts w:hint="eastAsia" w:ascii="宋体" w:hAnsi="宋体"/>
              </w:rPr>
              <w:t>本条款第8.1、8.4条规定的合同解除权，自我们知道有解除事由之日起，超过30日不行使而消灭。自本合同成立之日起超过2年的，我们不得解除合同；发生保险事故的，我们承担保险责任。</w:t>
            </w:r>
          </w:p>
          <w:p>
            <w:pPr>
              <w:spacing w:before="78" w:beforeLines="25"/>
              <w:rPr>
                <w:rFonts w:ascii="宋体" w:hAnsi="宋体"/>
              </w:rPr>
            </w:pPr>
            <w:r>
              <w:rPr>
                <w:rFonts w:hint="eastAsia" w:ascii="宋体" w:hAnsi="宋体"/>
              </w:rPr>
              <w:t>我们在合同订立时已经知道您未如实告知的情况的，我们不得解除合同；发生保险事故的，我们应当承担保险责任。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3</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投保范围</w:t>
            </w:r>
          </w:p>
        </w:tc>
        <w:tc>
          <w:tcPr>
            <w:tcW w:w="7591" w:type="dxa"/>
            <w:gridSpan w:val="8"/>
            <w:shd w:val="clear" w:color="auto" w:fill="auto"/>
          </w:tcPr>
          <w:p>
            <w:pPr>
              <w:spacing w:before="78" w:beforeLines="25"/>
              <w:rPr>
                <w:rFonts w:ascii="宋体" w:hAnsi="宋体"/>
              </w:rPr>
            </w:pPr>
            <w:r>
              <w:rPr>
                <w:rFonts w:hint="eastAsia" w:ascii="宋体" w:hAnsi="宋体"/>
              </w:rPr>
              <w:t>本合同接受的被保险人的投保年龄范围须符合投保当时我们的规定。</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4</w:t>
            </w:r>
          </w:p>
        </w:tc>
        <w:tc>
          <w:tcPr>
            <w:tcW w:w="1555" w:type="dxa"/>
            <w:gridSpan w:val="2"/>
            <w:shd w:val="clear" w:color="auto" w:fill="auto"/>
          </w:tcPr>
          <w:p>
            <w:pPr>
              <w:spacing w:before="78" w:beforeLines="25"/>
              <w:jc w:val="left"/>
              <w:rPr>
                <w:rFonts w:ascii="宋体" w:hAnsi="宋体"/>
                <w:b/>
                <w:szCs w:val="21"/>
                <w:shd w:val="pct10" w:color="auto" w:fill="FFFFFF"/>
              </w:rPr>
            </w:pPr>
            <w:r>
              <w:rPr>
                <w:rFonts w:hint="eastAsia" w:ascii="宋体" w:hAnsi="宋体"/>
                <w:b/>
                <w:szCs w:val="21"/>
              </w:rPr>
              <w:t>年龄性别</w:t>
            </w:r>
            <w:r>
              <w:rPr>
                <w:rFonts w:ascii="宋体" w:hAnsi="宋体"/>
                <w:b/>
                <w:szCs w:val="21"/>
              </w:rPr>
              <w:t>错误</w:t>
            </w:r>
            <w:r>
              <w:rPr>
                <w:rFonts w:hint="eastAsia" w:ascii="宋体" w:hAnsi="宋体"/>
                <w:b/>
                <w:szCs w:val="21"/>
              </w:rPr>
              <w:t>的处理</w:t>
            </w:r>
          </w:p>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r>
              <w:rPr>
                <w:rFonts w:ascii="宋体" w:hAnsi="宋体"/>
              </w:rPr>
              <w:t>您在申请投保时，应将与有效身份证件相符的被保险人的出生日期</w:t>
            </w:r>
            <w:r>
              <w:rPr>
                <w:rFonts w:hint="eastAsia" w:ascii="宋体" w:hAnsi="宋体"/>
              </w:rPr>
              <w:t>和性别</w:t>
            </w:r>
            <w:r>
              <w:rPr>
                <w:rFonts w:ascii="宋体" w:hAnsi="宋体"/>
              </w:rPr>
              <w:t>在投保单上填明，如果发生错误按照下列方式办理：</w:t>
            </w:r>
          </w:p>
          <w:p>
            <w:pPr>
              <w:spacing w:before="78" w:beforeLines="25"/>
              <w:rPr>
                <w:rFonts w:ascii="宋体" w:hAnsi="宋体"/>
              </w:rPr>
            </w:pPr>
            <w:r>
              <w:rPr>
                <w:rFonts w:hint="eastAsia" w:ascii="黑体" w:hAnsi="宋体" w:eastAsia="黑体"/>
              </w:rPr>
              <w:t>您申报的被保险人年龄或性别不真实，并且其真实年龄或性别不符合本合同约定投保年龄或性别限制的，我们有权解除本合同，并向您退还本合同的现金价值。对于本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5</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特别约定</w:t>
            </w:r>
          </w:p>
        </w:tc>
        <w:tc>
          <w:tcPr>
            <w:tcW w:w="7591" w:type="dxa"/>
            <w:gridSpan w:val="8"/>
            <w:shd w:val="clear" w:color="auto" w:fill="auto"/>
          </w:tcPr>
          <w:p>
            <w:pPr>
              <w:spacing w:before="78" w:beforeLines="25"/>
              <w:rPr>
                <w:rFonts w:ascii="黑体" w:hAnsi="黑体" w:eastAsia="黑体"/>
              </w:rPr>
            </w:pPr>
            <w:r>
              <w:rPr>
                <w:rFonts w:hint="eastAsia" w:ascii="黑体" w:hAnsi="黑体" w:eastAsia="黑体"/>
              </w:rPr>
              <w:t>如果您按照个人养老金制度投保，相关资金往来应按个人养老金资金账户管理规定执行</w:t>
            </w:r>
            <w:r>
              <w:rPr>
                <w:rFonts w:ascii="黑体" w:hAnsi="黑体" w:eastAsia="黑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8.6</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未还款项</w:t>
            </w:r>
          </w:p>
        </w:tc>
        <w:tc>
          <w:tcPr>
            <w:tcW w:w="7591" w:type="dxa"/>
            <w:gridSpan w:val="8"/>
            <w:shd w:val="clear" w:color="auto" w:fill="auto"/>
          </w:tcPr>
          <w:p>
            <w:pPr>
              <w:spacing w:before="78" w:beforeLines="25"/>
              <w:rPr>
                <w:rFonts w:ascii="宋体" w:hAnsi="宋体"/>
              </w:rPr>
            </w:pPr>
            <w:r>
              <w:rPr>
                <w:rFonts w:hint="eastAsia" w:ascii="宋体" w:hAnsi="宋体"/>
              </w:rPr>
              <w:t>我们在给付各项保险金、退还现金价值、退还保单账户价值或者退还保险费时，如果您有欠交的保单贷款或者其他欠款，我们先扣除上述各项欠款及应付利息</w:t>
            </w:r>
            <w:r>
              <w:rPr>
                <w:rFonts w:ascii="宋体" w:hAnsi="宋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8.7</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rPr>
              <w:t>合同内容变更</w:t>
            </w:r>
          </w:p>
        </w:tc>
        <w:tc>
          <w:tcPr>
            <w:tcW w:w="7591" w:type="dxa"/>
            <w:gridSpan w:val="8"/>
            <w:shd w:val="clear" w:color="auto" w:fill="auto"/>
          </w:tcPr>
          <w:p>
            <w:pPr>
              <w:spacing w:before="78" w:beforeLines="25"/>
              <w:rPr>
                <w:rFonts w:ascii="宋体" w:hAnsi="宋体"/>
              </w:rPr>
            </w:pPr>
            <w:r>
              <w:rPr>
                <w:rFonts w:hint="eastAsia" w:ascii="宋体" w:hAnsi="宋体"/>
              </w:rPr>
              <w:t>经您与我们协商一致，可以变更本合同的有关内容。变更本合同的，应当由我们在保险合同上批注或者附贴批单，或者由您与我们订立书面的变更协议</w:t>
            </w:r>
            <w:r>
              <w:rPr>
                <w:rFonts w:hint="eastAsia" w:ascii="黑体" w:hAnsi="黑体" w:eastAsia="黑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8.8</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联系方式变更</w:t>
            </w:r>
          </w:p>
        </w:tc>
        <w:tc>
          <w:tcPr>
            <w:tcW w:w="7591" w:type="dxa"/>
            <w:gridSpan w:val="8"/>
            <w:shd w:val="clear" w:color="auto" w:fill="auto"/>
          </w:tcPr>
          <w:p>
            <w:pPr>
              <w:spacing w:before="78" w:beforeLines="25"/>
              <w:rPr>
                <w:rFonts w:ascii="宋体" w:hAnsi="宋体"/>
              </w:rPr>
            </w:pPr>
            <w:r>
              <w:rPr>
                <w:rFonts w:hint="eastAsia" w:asciiTheme="minorEastAsia" w:hAnsiTheme="minorEastAsia" w:eastAsiaTheme="minorEastAsia"/>
              </w:rPr>
              <w:t>为了保障您的合法权益，您的住所、通讯地址、电话或电子邮件等联系方式变更时，请及时以书面形式或双方认可的其他形式通知我们。若您未以书面形式或双方认可的其他形式通知我们，</w:t>
            </w:r>
            <w:r>
              <w:rPr>
                <w:rFonts w:hint="eastAsia" w:ascii="黑体" w:hAnsi="黑体" w:eastAsia="黑体"/>
              </w:rPr>
              <w:t>我们按本合同载明的最后联系方式所发送的有关通知，均视为已送达给您。</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8.9</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争议处理</w:t>
            </w:r>
          </w:p>
        </w:tc>
        <w:tc>
          <w:tcPr>
            <w:tcW w:w="7591" w:type="dxa"/>
            <w:gridSpan w:val="8"/>
            <w:shd w:val="clear" w:color="auto" w:fill="auto"/>
          </w:tcPr>
          <w:p>
            <w:pPr>
              <w:spacing w:before="78" w:beforeLines="25"/>
              <w:rPr>
                <w:rFonts w:ascii="宋体" w:hAnsi="宋体"/>
              </w:rPr>
            </w:pPr>
            <w:r>
              <w:rPr>
                <w:rFonts w:hint="eastAsia" w:ascii="宋体" w:hAnsi="宋体"/>
              </w:rPr>
              <w:t>本合同争议的解决方式，由当事人在保险合同中约定从下列两种方式中选择一种：</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因履行本合同发生的争议，由当事人协商解决，协商不成的，提交xxx仲裁委员会仲裁；</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因履行本合同发生的争议，由当事人协商解决，协商不成的，依法向人民法院提起诉讼。</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p>
        </w:tc>
        <w:tc>
          <w:tcPr>
            <w:tcW w:w="1419" w:type="dxa"/>
            <w:shd w:val="clear" w:color="auto" w:fill="auto"/>
          </w:tcPr>
          <w:p>
            <w:pPr>
              <w:spacing w:before="78" w:beforeLines="25"/>
              <w:rPr>
                <w:rFonts w:ascii="宋体" w:hAnsi="宋体"/>
                <w:b/>
                <w:szCs w:val="21"/>
              </w:rPr>
            </w:pPr>
          </w:p>
        </w:tc>
        <w:tc>
          <w:tcPr>
            <w:tcW w:w="7727" w:type="dxa"/>
            <w:gridSpan w:val="9"/>
            <w:shd w:val="clear" w:color="auto" w:fill="auto"/>
          </w:tcPr>
          <w:p>
            <w:pPr>
              <w:spacing w:before="78" w:beforeLines="25"/>
              <w:rPr>
                <w:rFonts w:ascii="宋体" w:hAnsi="宋体"/>
              </w:rPr>
            </w:pPr>
            <w:r>
              <w:rPr>
                <w:rFonts w:hint="eastAsia" w:ascii="宋体" w:hAnsi="宋体"/>
              </w:rPr>
              <w:t>（条款全文完）</w:t>
            </w:r>
          </w:p>
        </w:tc>
      </w:tr>
    </w:tbl>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sectPr>
      <w:headerReference r:id="rId4" w:type="default"/>
      <w:footerReference r:id="rId5" w:type="default"/>
      <w:pgSz w:w="11906" w:h="16838"/>
      <w:pgMar w:top="1134" w:right="1134" w:bottom="1134" w:left="1134"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utura Bk">
    <w:altName w:val="Arial"/>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F3">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rP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9</w:t>
                </w:r>
                <w:r>
                  <w:fldChar w:fldCharType="end"/>
                </w:r>
              </w:p>
            </w:txbxContent>
          </v:textbox>
        </v:shape>
      </w:pict>
    </w:r>
    <w:r>
      <w:rPr>
        <w:rFonts w:asciiTheme="minorEastAsia" w:hAnsiTheme="minorEastAsia" w:eastAsiaTheme="minorEastAsia"/>
      </w:rPr>
      <w:ptab w:relativeTo="margin" w:alignment="center" w:leader="none"/>
    </w:r>
    <w:r>
      <w:rPr>
        <w:rFonts w:asciiTheme="minorEastAsia" w:hAnsiTheme="minorEastAsia" w:eastAsiaTheme="minorEastAsia"/>
      </w:rPr>
      <w:ptab w:relativeTo="margin" w:alignment="right" w:leader="none"/>
    </w:r>
    <w:bookmarkStart w:id="1" w:name="_GoBack"/>
    <w:bookmarkEnd w:id="1"/>
    <w:r>
      <w:rPr>
        <w:rFonts w:hint="eastAsia" w:asciiTheme="minorEastAsia" w:hAnsiTheme="minorEastAsia" w:eastAsiaTheme="minorEastAsia"/>
      </w:rPr>
      <w:t>颐瑞</w:t>
    </w:r>
    <w:r>
      <w:rPr>
        <w:rFonts w:asciiTheme="minorEastAsia" w:hAnsiTheme="minorEastAsia" w:eastAsiaTheme="minorEastAsia"/>
      </w:rPr>
      <w:t>2</w:t>
    </w:r>
    <w:r>
      <w:rPr>
        <w:rFonts w:hint="eastAsia" w:asciiTheme="minorEastAsia" w:hAnsiTheme="minorEastAsia" w:eastAsiaTheme="minorEastAsia"/>
      </w:rPr>
      <w:t>号条款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0">
    <w:p>
      <w:r>
        <w:separator/>
      </w:r>
    </w:p>
  </w:footnote>
  <w:footnote w:type="continuationSeparator" w:id="31">
    <w:p>
      <w:r>
        <w:continuationSeparator/>
      </w:r>
    </w:p>
  </w:footnote>
  <w:footnote w:id="0">
    <w:p>
      <w:pPr>
        <w:pStyle w:val="7"/>
        <w:ind w:left="45" w:hanging="45" w:hangingChars="25"/>
        <w:jc w:val="both"/>
        <w:rPr>
          <w:rFonts w:ascii="楷体_GB2312"/>
        </w:rPr>
      </w:pPr>
      <w:r>
        <w:rPr>
          <w:rStyle w:val="14"/>
          <w:rFonts w:ascii="楷体_GB2312"/>
        </w:rPr>
        <w:footnoteRef/>
      </w:r>
      <w:r>
        <w:rPr>
          <w:rFonts w:hint="eastAsia" w:ascii="楷体_GB2312" w:hAnsi="宋体"/>
          <w:b/>
        </w:rPr>
        <w:t>周岁</w:t>
      </w:r>
      <w:r>
        <w:rPr>
          <w:rFonts w:hint="eastAsia" w:ascii="楷体_GB2312" w:hAnsi="宋体"/>
        </w:rPr>
        <w:t>指按有效身份证件中记载的出生日期计算的年龄，自出生之日起为0周岁，每经过一年增加一岁，不足一年的不计。</w:t>
      </w:r>
    </w:p>
  </w:footnote>
  <w:footnote w:id="1">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年生效对应日</w:t>
      </w:r>
      <w:r>
        <w:rPr>
          <w:rFonts w:hint="eastAsia"/>
        </w:rPr>
        <w:t>指本合同生效日以后每年的对应日。如果当月无对应的同一日，则以该月最后一日为对应日。</w:t>
      </w:r>
    </w:p>
  </w:footnote>
  <w:footnote w:id="2">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月生效对应日</w:t>
      </w:r>
      <w:r>
        <w:rPr>
          <w:rFonts w:hint="eastAsia"/>
        </w:rPr>
        <w:t>指本合同生效日以后每月的对应日，如果当月无对应的同一日，则以该月最后一日为对应日。</w:t>
      </w:r>
    </w:p>
  </w:footnote>
  <w:footnote w:id="3">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保单年度</w:t>
      </w:r>
      <w:r>
        <w:rPr>
          <w:rFonts w:hint="eastAsia"/>
        </w:rPr>
        <w:t>：</w:t>
      </w:r>
      <w:r>
        <w:rPr>
          <w:rFonts w:hint="eastAsia" w:ascii="楷体_GB2312" w:hAnsi="宋体"/>
        </w:rPr>
        <w:t>从保险合同生效日或者年生效对应日零时起至下一年度保险合同年生效对应日的前一日24时止为一个保单年度。如果当月无对应的同一日，则以该月最后一日为对应日。</w:t>
      </w:r>
    </w:p>
  </w:footnote>
  <w:footnote w:id="4">
    <w:p>
      <w:pPr>
        <w:pStyle w:val="7"/>
        <w:ind w:left="56" w:hanging="55" w:hangingChars="31"/>
        <w:jc w:val="both"/>
        <w:rPr>
          <w:rFonts w:ascii="楷体_GB2312"/>
        </w:rPr>
      </w:pPr>
      <w:r>
        <w:rPr>
          <w:rStyle w:val="14"/>
          <w:rFonts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5">
    <w:p>
      <w:pPr>
        <w:pStyle w:val="7"/>
        <w:ind w:left="56" w:hanging="55" w:hangingChars="31"/>
        <w:jc w:val="both"/>
        <w:rPr>
          <w:rFonts w:ascii="楷体_GB2312"/>
        </w:rPr>
      </w:pPr>
      <w:r>
        <w:rPr>
          <w:rStyle w:val="14"/>
          <w:rFonts w:ascii="楷体_GB2312"/>
        </w:rPr>
        <w:footnoteRef/>
      </w:r>
      <w:r>
        <w:rPr>
          <w:rFonts w:hint="eastAsia" w:ascii="楷体_GB2312" w:hAnsi="宋体"/>
          <w:b/>
        </w:rPr>
        <w:t>酒后驾驶</w:t>
      </w:r>
      <w:r>
        <w:rPr>
          <w:rFonts w:hint="eastAsia" w:ascii="楷体_GB2312" w:hAnsi="宋体"/>
        </w:rPr>
        <w:t>指经检测或鉴定，发生事故时车辆驾驶人员每百毫升血液中的酒精含量达到或超过一定的标准，公安机关交通管理部门依据《道路交通安全法》或道路交通相关法规的规定认定为饮酒后驾驶或醉酒后驾驶。</w:t>
      </w:r>
    </w:p>
  </w:footnote>
  <w:footnote w:id="6">
    <w:p>
      <w:pPr>
        <w:pStyle w:val="7"/>
        <w:ind w:left="56" w:hanging="55" w:hangingChars="31"/>
        <w:jc w:val="both"/>
        <w:rPr>
          <w:rFonts w:ascii="楷体_GB2312"/>
        </w:rPr>
      </w:pPr>
      <w:r>
        <w:rPr>
          <w:rStyle w:val="14"/>
          <w:rFonts w:ascii="楷体_GB2312"/>
        </w:rPr>
        <w:footnoteRef/>
      </w:r>
      <w:r>
        <w:rPr>
          <w:rFonts w:hint="eastAsia" w:ascii="楷体_GB2312" w:hAnsi="宋体"/>
          <w:b/>
        </w:rPr>
        <w:t>无合法有效驾驶证驾驶</w:t>
      </w:r>
      <w:r>
        <w:rPr>
          <w:rFonts w:hint="eastAsia" w:ascii="楷体_GB2312"/>
        </w:rPr>
        <w:t>指下列情形之一：</w:t>
      </w:r>
    </w:p>
    <w:p>
      <w:pPr>
        <w:pStyle w:val="7"/>
        <w:ind w:left="194" w:hanging="194" w:hangingChars="108"/>
        <w:jc w:val="both"/>
        <w:rPr>
          <w:rFonts w:ascii="楷体_GB2312"/>
        </w:rPr>
      </w:pPr>
      <w:r>
        <w:rPr>
          <w:rFonts w:hint="eastAsia" w:ascii="楷体_GB2312"/>
        </w:rPr>
        <w:t>（1）没有取得中华人民共和国有关主管部门颁发或者认可的驾驶资格证书；</w:t>
      </w:r>
    </w:p>
    <w:p>
      <w:pPr>
        <w:pStyle w:val="7"/>
        <w:ind w:left="194" w:hanging="194" w:hangingChars="108"/>
        <w:jc w:val="both"/>
        <w:rPr>
          <w:rFonts w:ascii="楷体_GB2312"/>
        </w:rPr>
      </w:pPr>
      <w:r>
        <w:rPr>
          <w:rFonts w:hint="eastAsia" w:ascii="楷体_GB2312"/>
        </w:rPr>
        <w:t>（2）驾驶与驾驶证准驾车型不相符合的车辆；</w:t>
      </w:r>
    </w:p>
    <w:p>
      <w:pPr>
        <w:pStyle w:val="7"/>
        <w:ind w:left="194" w:hanging="194" w:hangingChars="108"/>
        <w:jc w:val="both"/>
        <w:rPr>
          <w:rFonts w:ascii="楷体_GB2312"/>
        </w:rPr>
      </w:pPr>
      <w:r>
        <w:rPr>
          <w:rFonts w:hint="eastAsia" w:ascii="楷体_GB2312"/>
        </w:rPr>
        <w:t>（3）持审验不合格的驾驶证驾驶；</w:t>
      </w:r>
    </w:p>
    <w:p>
      <w:pPr>
        <w:pStyle w:val="7"/>
        <w:ind w:left="194" w:hanging="194" w:hangingChars="108"/>
        <w:jc w:val="both"/>
        <w:rPr>
          <w:rFonts w:ascii="楷体_GB2312"/>
        </w:rPr>
      </w:pPr>
      <w:r>
        <w:rPr>
          <w:rFonts w:hint="eastAsia" w:ascii="楷体_GB2312"/>
        </w:rPr>
        <w:t>（4）持学习驾驶证学习驾车时，无教练员随车指导，或不按指定时间、路线学习驾车</w:t>
      </w:r>
      <w:r>
        <w:rPr>
          <w:rFonts w:hint="eastAsia" w:ascii="楷体_GB2312" w:hAnsi="宋体"/>
        </w:rPr>
        <w:t>。</w:t>
      </w:r>
    </w:p>
  </w:footnote>
  <w:footnote w:id="7">
    <w:p>
      <w:pPr>
        <w:pStyle w:val="7"/>
        <w:ind w:left="56" w:hanging="55" w:hangingChars="31"/>
        <w:jc w:val="both"/>
        <w:rPr>
          <w:rFonts w:ascii="楷体_GB2312"/>
        </w:rPr>
      </w:pPr>
      <w:r>
        <w:rPr>
          <w:rStyle w:val="14"/>
          <w:rFonts w:ascii="楷体_GB2312"/>
        </w:rPr>
        <w:footnoteRef/>
      </w:r>
      <w:r>
        <w:rPr>
          <w:rFonts w:hint="eastAsia" w:ascii="楷体_GB2312" w:hAnsi="宋体"/>
          <w:b/>
        </w:rPr>
        <w:t>无合法有效行驶证</w:t>
      </w:r>
      <w:r>
        <w:rPr>
          <w:rFonts w:hint="eastAsia" w:ascii="楷体_GB2312"/>
        </w:rPr>
        <w:t>指下列情形之一：</w:t>
      </w:r>
    </w:p>
    <w:p>
      <w:pPr>
        <w:pStyle w:val="7"/>
        <w:ind w:left="160" w:hanging="160" w:hangingChars="89"/>
        <w:jc w:val="both"/>
        <w:rPr>
          <w:rFonts w:ascii="楷体_GB2312"/>
        </w:rPr>
      </w:pPr>
      <w:r>
        <w:rPr>
          <w:rFonts w:hint="eastAsia" w:ascii="楷体_GB2312"/>
        </w:rPr>
        <w:t>（1）机动车被依法注销登记的；</w:t>
      </w:r>
    </w:p>
    <w:p>
      <w:pPr>
        <w:pStyle w:val="7"/>
        <w:ind w:left="160" w:hanging="160" w:hangingChars="89"/>
        <w:jc w:val="both"/>
        <w:rPr>
          <w:rFonts w:ascii="楷体_GB2312"/>
        </w:rPr>
      </w:pPr>
      <w:r>
        <w:rPr>
          <w:rFonts w:hint="eastAsia" w:ascii="楷体_GB2312"/>
        </w:rPr>
        <w:t>（2）未依法按时进行或通过机动车安全技术检验</w:t>
      </w:r>
      <w:r>
        <w:rPr>
          <w:rFonts w:hint="eastAsia" w:ascii="楷体_GB2312" w:hAnsi="宋体"/>
        </w:rPr>
        <w:t>。</w:t>
      </w:r>
    </w:p>
  </w:footnote>
  <w:footnote w:id="8">
    <w:p>
      <w:pPr>
        <w:pStyle w:val="7"/>
        <w:ind w:left="95" w:hanging="95" w:hangingChars="53"/>
        <w:jc w:val="both"/>
        <w:rPr>
          <w:rFonts w:ascii="楷体_GB2312"/>
        </w:rPr>
      </w:pPr>
      <w:r>
        <w:rPr>
          <w:rStyle w:val="14"/>
          <w:rFonts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指以动力装置驱动或者牵引，上道路行驶的供人员乘用或者用于运送物品以及进行工程专项作业的轮式车辆或履带车辆。</w:t>
      </w:r>
    </w:p>
  </w:footnote>
  <w:footnote w:id="9">
    <w:p>
      <w:pPr>
        <w:pStyle w:val="7"/>
        <w:adjustRightInd w:val="0"/>
        <w:ind w:left="95" w:hanging="95" w:hangingChars="53"/>
        <w:rPr>
          <w:rFonts w:ascii="楷体_GB2312"/>
        </w:rPr>
      </w:pPr>
      <w:r>
        <w:rPr>
          <w:rStyle w:val="14"/>
          <w:rFonts w:hint="eastAsia" w:ascii="楷体_GB2312"/>
        </w:rPr>
        <w:footnoteRef/>
      </w:r>
      <w:r>
        <w:rPr>
          <w:rFonts w:hint="eastAsia"/>
          <w:b/>
        </w:rPr>
        <w:t>战争</w:t>
      </w:r>
      <w:r>
        <w:rPr>
          <w:rFonts w:hint="eastAsia"/>
        </w:rPr>
        <w:t>指国家与国家、民族与民族、政治集团与政治集团之间为了一定的政治、经济目的而进行的武装斗争，以政府宣布为准。</w:t>
      </w:r>
    </w:p>
  </w:footnote>
  <w:footnote w:id="10">
    <w:p>
      <w:pPr>
        <w:pStyle w:val="7"/>
        <w:rPr>
          <w:rFonts w:ascii="楷体_GB2312"/>
        </w:rPr>
      </w:pPr>
      <w:r>
        <w:rPr>
          <w:rStyle w:val="14"/>
          <w:rFonts w:hint="eastAsia" w:ascii="楷体_GB2312"/>
        </w:rPr>
        <w:footnoteRef/>
      </w:r>
      <w:r>
        <w:rPr>
          <w:rFonts w:hint="eastAsia"/>
          <w:b/>
        </w:rPr>
        <w:t>军事冲突</w:t>
      </w:r>
      <w:r>
        <w:rPr>
          <w:rFonts w:hint="eastAsia"/>
        </w:rPr>
        <w:t>指国家或民族之间在一定范围内的武装对抗，以政府宣布为准。</w:t>
      </w:r>
    </w:p>
  </w:footnote>
  <w:footnote w:id="11">
    <w:p>
      <w:pPr>
        <w:pStyle w:val="7"/>
      </w:pPr>
      <w:r>
        <w:rPr>
          <w:rStyle w:val="14"/>
          <w:rFonts w:hint="eastAsia" w:ascii="楷体_GB2312"/>
        </w:rPr>
        <w:footnoteRef/>
      </w:r>
      <w:r>
        <w:rPr>
          <w:rFonts w:hint="eastAsia"/>
          <w:b/>
        </w:rPr>
        <w:t>暴乱</w:t>
      </w:r>
      <w:r>
        <w:rPr>
          <w:rFonts w:hint="eastAsia"/>
        </w:rPr>
        <w:t>指破坏社会秩序的武装骚动，以政府宣布为准。</w:t>
      </w:r>
    </w:p>
  </w:footnote>
  <w:footnote w:id="12">
    <w:p>
      <w:pPr>
        <w:pStyle w:val="7"/>
        <w:ind w:left="90" w:hanging="90" w:hangingChars="50"/>
        <w:jc w:val="both"/>
        <w:rPr>
          <w:rFonts w:ascii="楷体_GB2312"/>
        </w:rPr>
      </w:pPr>
      <w:r>
        <w:rPr>
          <w:rStyle w:val="14"/>
          <w:rFonts w:ascii="楷体_GB2312"/>
        </w:rPr>
        <w:footnoteRef/>
      </w:r>
      <w:r>
        <w:rPr>
          <w:rFonts w:hint="eastAsia" w:ascii="楷体_GB2312" w:hAnsi="宋体"/>
          <w:b/>
        </w:rPr>
        <w:t>现金价值</w:t>
      </w:r>
      <w:r>
        <w:rPr>
          <w:rFonts w:hint="eastAsia" w:ascii="楷体_GB2312" w:hAnsi="宋体"/>
        </w:rPr>
        <w:t>指保险单所具有的价值，通常体现为解除合同时，根据精算原理计算的、由我们退还的那部分金额。</w:t>
      </w:r>
    </w:p>
  </w:footnote>
  <w:footnote w:id="13">
    <w:p>
      <w:pPr>
        <w:pStyle w:val="7"/>
        <w:adjustRightInd w:val="0"/>
        <w:ind w:left="95" w:hanging="95" w:hangingChars="53"/>
        <w:jc w:val="both"/>
        <w:rPr>
          <w:rFonts w:ascii="楷体_GB2312"/>
        </w:rPr>
      </w:pPr>
      <w:r>
        <w:rPr>
          <w:rStyle w:val="14"/>
          <w:rFonts w:ascii="楷体_GB2312"/>
        </w:rPr>
        <w:footnoteRef/>
      </w:r>
      <w:r>
        <w:rPr>
          <w:rFonts w:hint="eastAsia" w:ascii="楷体_GB2312" w:hAnsi="宋体"/>
          <w:b/>
        </w:rPr>
        <w:t>有效身份证件</w:t>
      </w:r>
      <w:r>
        <w:rPr>
          <w:rFonts w:hint="eastAsia" w:ascii="楷体_GB2312" w:hAnsiTheme="minorEastAsia"/>
        </w:rPr>
        <w:t>指由中华人民共和国政府主管部门规定的能够证明其身份的证件，如：有效期内的居民身份证、港澳台居民居住证、户口簿以及中华人民共和国政府主管部门颁发或者认可的有效护照或者其他身份证明文件。</w:t>
      </w:r>
    </w:p>
  </w:footnote>
  <w:footnote w:id="14">
    <w:p>
      <w:pPr>
        <w:pStyle w:val="7"/>
      </w:pPr>
      <w:r>
        <w:rPr>
          <w:rStyle w:val="14"/>
          <w:rFonts w:hint="eastAsia" w:ascii="楷体_GB2312"/>
        </w:rPr>
        <w:footnoteRef/>
      </w:r>
      <w:r>
        <w:rPr>
          <w:rFonts w:hint="eastAsia"/>
          <w:b/>
        </w:rPr>
        <w:t>签收本合同之日</w:t>
      </w:r>
      <w:r>
        <w:rPr>
          <w:rFonts w:hint="eastAsia"/>
        </w:rPr>
        <w:t>的起算时间具体为签收本合同之日的</w:t>
      </w:r>
      <w:r>
        <w:rPr>
          <w:rFonts w:hint="eastAsia" w:ascii="楷体_GB2312"/>
        </w:rPr>
        <w:t>24</w:t>
      </w:r>
      <w:r>
        <w:rPr>
          <w:rFonts w:hint="eastAsia"/>
        </w:rPr>
        <w:t>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74483"/>
    <w:multiLevelType w:val="multilevel"/>
    <w:tmpl w:val="241744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AC5285"/>
    <w:multiLevelType w:val="multilevel"/>
    <w:tmpl w:val="26AC5285"/>
    <w:lvl w:ilvl="0" w:tentative="0">
      <w:start w:val="1"/>
      <w:numFmt w:val="decimal"/>
      <w:lvlText w:val="（%1）"/>
      <w:lvlJc w:val="left"/>
      <w:pPr>
        <w:tabs>
          <w:tab w:val="left" w:pos="720"/>
        </w:tabs>
        <w:ind w:left="720" w:hanging="720"/>
      </w:pPr>
      <w:rPr>
        <w:rFonts w:hint="default"/>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BD065F4"/>
    <w:multiLevelType w:val="multilevel"/>
    <w:tmpl w:val="3BD065F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D672C0"/>
    <w:multiLevelType w:val="multilevel"/>
    <w:tmpl w:val="41D672C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E55222E"/>
    <w:multiLevelType w:val="multilevel"/>
    <w:tmpl w:val="5E55222E"/>
    <w:lvl w:ilvl="0" w:tentative="0">
      <w:start w:val="1"/>
      <w:numFmt w:val="decimal"/>
      <w:lvlText w:val="（%1）"/>
      <w:lvlJc w:val="left"/>
      <w:pPr>
        <w:tabs>
          <w:tab w:val="left" w:pos="720"/>
        </w:tabs>
        <w:ind w:left="720" w:hanging="720"/>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74054758"/>
    <w:multiLevelType w:val="multilevel"/>
    <w:tmpl w:val="74054758"/>
    <w:lvl w:ilvl="0" w:tentative="0">
      <w:start w:val="1"/>
      <w:numFmt w:val="decimal"/>
      <w:lvlText w:val="（%1）"/>
      <w:lvlJc w:val="left"/>
      <w:pPr>
        <w:ind w:left="420" w:hanging="420"/>
      </w:pPr>
      <w:rPr>
        <w:rFonts w:hint="default"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3"/>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30"/>
    <w:footnote w:id="31"/>
  </w:foot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81E"/>
    <w:rsid w:val="00001950"/>
    <w:rsid w:val="00002F8E"/>
    <w:rsid w:val="000038CB"/>
    <w:rsid w:val="00003B4E"/>
    <w:rsid w:val="00005130"/>
    <w:rsid w:val="00006EA7"/>
    <w:rsid w:val="0000764A"/>
    <w:rsid w:val="00007D92"/>
    <w:rsid w:val="00011247"/>
    <w:rsid w:val="00011A87"/>
    <w:rsid w:val="00011DF6"/>
    <w:rsid w:val="00012052"/>
    <w:rsid w:val="000128D5"/>
    <w:rsid w:val="00012DEB"/>
    <w:rsid w:val="00012E70"/>
    <w:rsid w:val="00015304"/>
    <w:rsid w:val="00015D7C"/>
    <w:rsid w:val="000173C5"/>
    <w:rsid w:val="000178F4"/>
    <w:rsid w:val="0002036D"/>
    <w:rsid w:val="000203F9"/>
    <w:rsid w:val="00021359"/>
    <w:rsid w:val="000219E7"/>
    <w:rsid w:val="00021DC7"/>
    <w:rsid w:val="00023046"/>
    <w:rsid w:val="000231F8"/>
    <w:rsid w:val="00024594"/>
    <w:rsid w:val="00024AC1"/>
    <w:rsid w:val="00024C37"/>
    <w:rsid w:val="0002502D"/>
    <w:rsid w:val="00025646"/>
    <w:rsid w:val="000262A9"/>
    <w:rsid w:val="00030C52"/>
    <w:rsid w:val="000312E0"/>
    <w:rsid w:val="00034150"/>
    <w:rsid w:val="000343D8"/>
    <w:rsid w:val="00034C05"/>
    <w:rsid w:val="00034E3F"/>
    <w:rsid w:val="0003562B"/>
    <w:rsid w:val="00035999"/>
    <w:rsid w:val="00035D21"/>
    <w:rsid w:val="0003612C"/>
    <w:rsid w:val="0003630C"/>
    <w:rsid w:val="000401EA"/>
    <w:rsid w:val="00040205"/>
    <w:rsid w:val="00040D22"/>
    <w:rsid w:val="00040DAC"/>
    <w:rsid w:val="000422AC"/>
    <w:rsid w:val="00042E0A"/>
    <w:rsid w:val="00043888"/>
    <w:rsid w:val="00043BF0"/>
    <w:rsid w:val="0004402F"/>
    <w:rsid w:val="0004447E"/>
    <w:rsid w:val="00044998"/>
    <w:rsid w:val="000456F6"/>
    <w:rsid w:val="000465CF"/>
    <w:rsid w:val="0004777E"/>
    <w:rsid w:val="00050FF5"/>
    <w:rsid w:val="00051856"/>
    <w:rsid w:val="00052044"/>
    <w:rsid w:val="00052687"/>
    <w:rsid w:val="00052774"/>
    <w:rsid w:val="00052D81"/>
    <w:rsid w:val="00053FAB"/>
    <w:rsid w:val="00054FE3"/>
    <w:rsid w:val="000550A0"/>
    <w:rsid w:val="00055324"/>
    <w:rsid w:val="00055F06"/>
    <w:rsid w:val="000564D0"/>
    <w:rsid w:val="00056909"/>
    <w:rsid w:val="0005697A"/>
    <w:rsid w:val="00057AD2"/>
    <w:rsid w:val="00061A66"/>
    <w:rsid w:val="000622E6"/>
    <w:rsid w:val="00062E63"/>
    <w:rsid w:val="000649EF"/>
    <w:rsid w:val="00064DA3"/>
    <w:rsid w:val="00065013"/>
    <w:rsid w:val="0006527E"/>
    <w:rsid w:val="00066BCC"/>
    <w:rsid w:val="00066D14"/>
    <w:rsid w:val="00067D97"/>
    <w:rsid w:val="00070737"/>
    <w:rsid w:val="00071665"/>
    <w:rsid w:val="00071744"/>
    <w:rsid w:val="000719B9"/>
    <w:rsid w:val="00071BD5"/>
    <w:rsid w:val="00071C53"/>
    <w:rsid w:val="00072464"/>
    <w:rsid w:val="0007272F"/>
    <w:rsid w:val="00072AA2"/>
    <w:rsid w:val="00073041"/>
    <w:rsid w:val="00073503"/>
    <w:rsid w:val="00075AF2"/>
    <w:rsid w:val="000768DD"/>
    <w:rsid w:val="00076A5C"/>
    <w:rsid w:val="00076E9B"/>
    <w:rsid w:val="000771E7"/>
    <w:rsid w:val="00077246"/>
    <w:rsid w:val="00077666"/>
    <w:rsid w:val="0008314E"/>
    <w:rsid w:val="00083D16"/>
    <w:rsid w:val="00084200"/>
    <w:rsid w:val="00085B85"/>
    <w:rsid w:val="00085C79"/>
    <w:rsid w:val="00087831"/>
    <w:rsid w:val="00090EE6"/>
    <w:rsid w:val="000910FB"/>
    <w:rsid w:val="00092534"/>
    <w:rsid w:val="0009255B"/>
    <w:rsid w:val="00092C55"/>
    <w:rsid w:val="00092CD0"/>
    <w:rsid w:val="000932EA"/>
    <w:rsid w:val="0009479C"/>
    <w:rsid w:val="00094B62"/>
    <w:rsid w:val="00094E33"/>
    <w:rsid w:val="00095638"/>
    <w:rsid w:val="00095BEB"/>
    <w:rsid w:val="00096700"/>
    <w:rsid w:val="0009734C"/>
    <w:rsid w:val="000A0DCE"/>
    <w:rsid w:val="000A18C1"/>
    <w:rsid w:val="000A2358"/>
    <w:rsid w:val="000A2422"/>
    <w:rsid w:val="000A2F3A"/>
    <w:rsid w:val="000A3A50"/>
    <w:rsid w:val="000A4B6F"/>
    <w:rsid w:val="000A55E8"/>
    <w:rsid w:val="000A630C"/>
    <w:rsid w:val="000A6420"/>
    <w:rsid w:val="000A680A"/>
    <w:rsid w:val="000A6A4A"/>
    <w:rsid w:val="000A7B91"/>
    <w:rsid w:val="000A7D9A"/>
    <w:rsid w:val="000B01C1"/>
    <w:rsid w:val="000B07BC"/>
    <w:rsid w:val="000B0BF7"/>
    <w:rsid w:val="000B1069"/>
    <w:rsid w:val="000B189F"/>
    <w:rsid w:val="000B1B29"/>
    <w:rsid w:val="000B1EE0"/>
    <w:rsid w:val="000B2228"/>
    <w:rsid w:val="000B2AB0"/>
    <w:rsid w:val="000B2DB8"/>
    <w:rsid w:val="000B319B"/>
    <w:rsid w:val="000B3BD8"/>
    <w:rsid w:val="000B46DB"/>
    <w:rsid w:val="000B4D93"/>
    <w:rsid w:val="000B6086"/>
    <w:rsid w:val="000B61F9"/>
    <w:rsid w:val="000B6872"/>
    <w:rsid w:val="000C040E"/>
    <w:rsid w:val="000C1653"/>
    <w:rsid w:val="000C1773"/>
    <w:rsid w:val="000C1E08"/>
    <w:rsid w:val="000C22DF"/>
    <w:rsid w:val="000C230A"/>
    <w:rsid w:val="000C2AFC"/>
    <w:rsid w:val="000C3216"/>
    <w:rsid w:val="000C34A6"/>
    <w:rsid w:val="000C3948"/>
    <w:rsid w:val="000C3E69"/>
    <w:rsid w:val="000C4635"/>
    <w:rsid w:val="000C4654"/>
    <w:rsid w:val="000C5169"/>
    <w:rsid w:val="000C5C28"/>
    <w:rsid w:val="000C5E63"/>
    <w:rsid w:val="000C6CC5"/>
    <w:rsid w:val="000C7066"/>
    <w:rsid w:val="000C77F6"/>
    <w:rsid w:val="000C7F46"/>
    <w:rsid w:val="000D06BB"/>
    <w:rsid w:val="000D0CE8"/>
    <w:rsid w:val="000D1892"/>
    <w:rsid w:val="000D22BB"/>
    <w:rsid w:val="000D26FB"/>
    <w:rsid w:val="000D2EB1"/>
    <w:rsid w:val="000D3157"/>
    <w:rsid w:val="000D404B"/>
    <w:rsid w:val="000D43C7"/>
    <w:rsid w:val="000D4509"/>
    <w:rsid w:val="000D4DC8"/>
    <w:rsid w:val="000D6E3F"/>
    <w:rsid w:val="000D71C5"/>
    <w:rsid w:val="000E09A7"/>
    <w:rsid w:val="000E15EF"/>
    <w:rsid w:val="000E2F8D"/>
    <w:rsid w:val="000E482E"/>
    <w:rsid w:val="000E5FD3"/>
    <w:rsid w:val="000F0BAE"/>
    <w:rsid w:val="000F0BB3"/>
    <w:rsid w:val="000F0F8E"/>
    <w:rsid w:val="000F1182"/>
    <w:rsid w:val="000F154D"/>
    <w:rsid w:val="000F1B31"/>
    <w:rsid w:val="000F1ED9"/>
    <w:rsid w:val="000F28C8"/>
    <w:rsid w:val="000F2D68"/>
    <w:rsid w:val="000F505A"/>
    <w:rsid w:val="000F5617"/>
    <w:rsid w:val="000F56AF"/>
    <w:rsid w:val="000F5BEF"/>
    <w:rsid w:val="000F65F3"/>
    <w:rsid w:val="001000E9"/>
    <w:rsid w:val="00100E83"/>
    <w:rsid w:val="001010F6"/>
    <w:rsid w:val="001019BA"/>
    <w:rsid w:val="0010276C"/>
    <w:rsid w:val="00103439"/>
    <w:rsid w:val="001037EA"/>
    <w:rsid w:val="001043BC"/>
    <w:rsid w:val="0010473F"/>
    <w:rsid w:val="00105DF1"/>
    <w:rsid w:val="00105DF8"/>
    <w:rsid w:val="00105F29"/>
    <w:rsid w:val="001066A7"/>
    <w:rsid w:val="001066CB"/>
    <w:rsid w:val="00106963"/>
    <w:rsid w:val="001129E8"/>
    <w:rsid w:val="00112D01"/>
    <w:rsid w:val="00112E17"/>
    <w:rsid w:val="00113BD0"/>
    <w:rsid w:val="00116C75"/>
    <w:rsid w:val="00116C9B"/>
    <w:rsid w:val="00116DB1"/>
    <w:rsid w:val="00117863"/>
    <w:rsid w:val="00117D28"/>
    <w:rsid w:val="00117FF1"/>
    <w:rsid w:val="00123C7B"/>
    <w:rsid w:val="00123F8E"/>
    <w:rsid w:val="00124A13"/>
    <w:rsid w:val="00124CFA"/>
    <w:rsid w:val="00125DFF"/>
    <w:rsid w:val="001262AE"/>
    <w:rsid w:val="001279DC"/>
    <w:rsid w:val="00127F2A"/>
    <w:rsid w:val="00130034"/>
    <w:rsid w:val="00133F49"/>
    <w:rsid w:val="00135302"/>
    <w:rsid w:val="001374EE"/>
    <w:rsid w:val="001376C8"/>
    <w:rsid w:val="001377FB"/>
    <w:rsid w:val="00137BD7"/>
    <w:rsid w:val="001408EF"/>
    <w:rsid w:val="00141CBC"/>
    <w:rsid w:val="00142DA4"/>
    <w:rsid w:val="0014392E"/>
    <w:rsid w:val="001442D1"/>
    <w:rsid w:val="00145799"/>
    <w:rsid w:val="0014682D"/>
    <w:rsid w:val="00150B6F"/>
    <w:rsid w:val="00150C35"/>
    <w:rsid w:val="001526A3"/>
    <w:rsid w:val="001526AD"/>
    <w:rsid w:val="00152A9B"/>
    <w:rsid w:val="00152DA4"/>
    <w:rsid w:val="001536C1"/>
    <w:rsid w:val="00155F8B"/>
    <w:rsid w:val="00156339"/>
    <w:rsid w:val="00156C5E"/>
    <w:rsid w:val="00160755"/>
    <w:rsid w:val="00161BE5"/>
    <w:rsid w:val="0016236B"/>
    <w:rsid w:val="0016280D"/>
    <w:rsid w:val="0016299F"/>
    <w:rsid w:val="00162BD1"/>
    <w:rsid w:val="00162C01"/>
    <w:rsid w:val="00162F8C"/>
    <w:rsid w:val="001641CD"/>
    <w:rsid w:val="001645B7"/>
    <w:rsid w:val="00164D54"/>
    <w:rsid w:val="001653A5"/>
    <w:rsid w:val="0016586A"/>
    <w:rsid w:val="0016619A"/>
    <w:rsid w:val="00166842"/>
    <w:rsid w:val="00166896"/>
    <w:rsid w:val="00166E2C"/>
    <w:rsid w:val="00171626"/>
    <w:rsid w:val="001716F7"/>
    <w:rsid w:val="00171F30"/>
    <w:rsid w:val="0017281E"/>
    <w:rsid w:val="00172858"/>
    <w:rsid w:val="00173F0E"/>
    <w:rsid w:val="00174757"/>
    <w:rsid w:val="00174860"/>
    <w:rsid w:val="00175890"/>
    <w:rsid w:val="0017669A"/>
    <w:rsid w:val="00176C97"/>
    <w:rsid w:val="00176CD4"/>
    <w:rsid w:val="00177E17"/>
    <w:rsid w:val="0018037B"/>
    <w:rsid w:val="00180607"/>
    <w:rsid w:val="00180B1C"/>
    <w:rsid w:val="001824CA"/>
    <w:rsid w:val="0018254C"/>
    <w:rsid w:val="001829E1"/>
    <w:rsid w:val="00182DD9"/>
    <w:rsid w:val="0018407B"/>
    <w:rsid w:val="0018438B"/>
    <w:rsid w:val="0018478E"/>
    <w:rsid w:val="001849D2"/>
    <w:rsid w:val="00185BD5"/>
    <w:rsid w:val="00185DD0"/>
    <w:rsid w:val="00186B16"/>
    <w:rsid w:val="001916DE"/>
    <w:rsid w:val="001917B2"/>
    <w:rsid w:val="00191FD7"/>
    <w:rsid w:val="0019204A"/>
    <w:rsid w:val="001927B6"/>
    <w:rsid w:val="00192DA7"/>
    <w:rsid w:val="001931F5"/>
    <w:rsid w:val="00193894"/>
    <w:rsid w:val="001955A9"/>
    <w:rsid w:val="0019688B"/>
    <w:rsid w:val="001A03CA"/>
    <w:rsid w:val="001A0D1A"/>
    <w:rsid w:val="001A12EF"/>
    <w:rsid w:val="001A2275"/>
    <w:rsid w:val="001A24CB"/>
    <w:rsid w:val="001A35B5"/>
    <w:rsid w:val="001A4371"/>
    <w:rsid w:val="001A4994"/>
    <w:rsid w:val="001A5F2D"/>
    <w:rsid w:val="001A7003"/>
    <w:rsid w:val="001A77A0"/>
    <w:rsid w:val="001B075F"/>
    <w:rsid w:val="001B0979"/>
    <w:rsid w:val="001B1171"/>
    <w:rsid w:val="001B2135"/>
    <w:rsid w:val="001B2180"/>
    <w:rsid w:val="001B22F4"/>
    <w:rsid w:val="001B336F"/>
    <w:rsid w:val="001B3420"/>
    <w:rsid w:val="001B4369"/>
    <w:rsid w:val="001B52BC"/>
    <w:rsid w:val="001B5564"/>
    <w:rsid w:val="001B5642"/>
    <w:rsid w:val="001B57B9"/>
    <w:rsid w:val="001B5CA4"/>
    <w:rsid w:val="001B5DC5"/>
    <w:rsid w:val="001B6DBE"/>
    <w:rsid w:val="001B7BEC"/>
    <w:rsid w:val="001C01BC"/>
    <w:rsid w:val="001C094A"/>
    <w:rsid w:val="001C120B"/>
    <w:rsid w:val="001C15A0"/>
    <w:rsid w:val="001C2014"/>
    <w:rsid w:val="001C2254"/>
    <w:rsid w:val="001C373E"/>
    <w:rsid w:val="001C3CD3"/>
    <w:rsid w:val="001C45D4"/>
    <w:rsid w:val="001C4D3D"/>
    <w:rsid w:val="001C5BD4"/>
    <w:rsid w:val="001C5F86"/>
    <w:rsid w:val="001C6952"/>
    <w:rsid w:val="001C7480"/>
    <w:rsid w:val="001C7A5A"/>
    <w:rsid w:val="001D0B1A"/>
    <w:rsid w:val="001D104A"/>
    <w:rsid w:val="001D17E5"/>
    <w:rsid w:val="001D18C4"/>
    <w:rsid w:val="001D1EA4"/>
    <w:rsid w:val="001D361E"/>
    <w:rsid w:val="001D39C1"/>
    <w:rsid w:val="001D3C76"/>
    <w:rsid w:val="001D408A"/>
    <w:rsid w:val="001D4159"/>
    <w:rsid w:val="001D4377"/>
    <w:rsid w:val="001D49DA"/>
    <w:rsid w:val="001D5576"/>
    <w:rsid w:val="001D63AE"/>
    <w:rsid w:val="001D6BDE"/>
    <w:rsid w:val="001D72AD"/>
    <w:rsid w:val="001D74AF"/>
    <w:rsid w:val="001D7EC8"/>
    <w:rsid w:val="001E0806"/>
    <w:rsid w:val="001E25D6"/>
    <w:rsid w:val="001E2E02"/>
    <w:rsid w:val="001E4D03"/>
    <w:rsid w:val="001E4F44"/>
    <w:rsid w:val="001E61B1"/>
    <w:rsid w:val="001E6B52"/>
    <w:rsid w:val="001E7987"/>
    <w:rsid w:val="001E7F9C"/>
    <w:rsid w:val="001F0F09"/>
    <w:rsid w:val="001F2817"/>
    <w:rsid w:val="001F31D2"/>
    <w:rsid w:val="001F327E"/>
    <w:rsid w:val="001F3DD8"/>
    <w:rsid w:val="001F4520"/>
    <w:rsid w:val="001F4738"/>
    <w:rsid w:val="0020142D"/>
    <w:rsid w:val="00201976"/>
    <w:rsid w:val="00201EF6"/>
    <w:rsid w:val="002020D2"/>
    <w:rsid w:val="002023E6"/>
    <w:rsid w:val="00203122"/>
    <w:rsid w:val="00203B77"/>
    <w:rsid w:val="00204F50"/>
    <w:rsid w:val="00205B70"/>
    <w:rsid w:val="00206A90"/>
    <w:rsid w:val="0020736F"/>
    <w:rsid w:val="002074B1"/>
    <w:rsid w:val="00207AD4"/>
    <w:rsid w:val="00207AE0"/>
    <w:rsid w:val="002111E5"/>
    <w:rsid w:val="002114E9"/>
    <w:rsid w:val="00211718"/>
    <w:rsid w:val="00211C59"/>
    <w:rsid w:val="00212922"/>
    <w:rsid w:val="002136C4"/>
    <w:rsid w:val="002144BF"/>
    <w:rsid w:val="00214CA5"/>
    <w:rsid w:val="00215F8C"/>
    <w:rsid w:val="002161F8"/>
    <w:rsid w:val="0021691C"/>
    <w:rsid w:val="00216B71"/>
    <w:rsid w:val="002176AE"/>
    <w:rsid w:val="00217797"/>
    <w:rsid w:val="002201D0"/>
    <w:rsid w:val="002213D3"/>
    <w:rsid w:val="00221CC6"/>
    <w:rsid w:val="00222445"/>
    <w:rsid w:val="002259CC"/>
    <w:rsid w:val="0022740C"/>
    <w:rsid w:val="002276E5"/>
    <w:rsid w:val="00227F1D"/>
    <w:rsid w:val="00230407"/>
    <w:rsid w:val="00230546"/>
    <w:rsid w:val="00230751"/>
    <w:rsid w:val="00230D06"/>
    <w:rsid w:val="0023144F"/>
    <w:rsid w:val="00231ADB"/>
    <w:rsid w:val="00232329"/>
    <w:rsid w:val="00233056"/>
    <w:rsid w:val="00234299"/>
    <w:rsid w:val="00234AD9"/>
    <w:rsid w:val="00234D50"/>
    <w:rsid w:val="00235CE6"/>
    <w:rsid w:val="00236157"/>
    <w:rsid w:val="00236418"/>
    <w:rsid w:val="0023688A"/>
    <w:rsid w:val="002368D4"/>
    <w:rsid w:val="00236EBF"/>
    <w:rsid w:val="00237DA8"/>
    <w:rsid w:val="00240395"/>
    <w:rsid w:val="00241C2B"/>
    <w:rsid w:val="00241D5B"/>
    <w:rsid w:val="00242475"/>
    <w:rsid w:val="00242616"/>
    <w:rsid w:val="0024297A"/>
    <w:rsid w:val="00242D1F"/>
    <w:rsid w:val="00242E8F"/>
    <w:rsid w:val="002441EF"/>
    <w:rsid w:val="00244372"/>
    <w:rsid w:val="00244E76"/>
    <w:rsid w:val="0024584F"/>
    <w:rsid w:val="00246734"/>
    <w:rsid w:val="00246E4E"/>
    <w:rsid w:val="002502F9"/>
    <w:rsid w:val="00250742"/>
    <w:rsid w:val="00250B66"/>
    <w:rsid w:val="00251E54"/>
    <w:rsid w:val="00252A08"/>
    <w:rsid w:val="0025338E"/>
    <w:rsid w:val="00253B13"/>
    <w:rsid w:val="00254AB7"/>
    <w:rsid w:val="002552C8"/>
    <w:rsid w:val="00255E04"/>
    <w:rsid w:val="00256268"/>
    <w:rsid w:val="002609FB"/>
    <w:rsid w:val="00261160"/>
    <w:rsid w:val="00262EEE"/>
    <w:rsid w:val="00263F48"/>
    <w:rsid w:val="00264CE1"/>
    <w:rsid w:val="00264FB0"/>
    <w:rsid w:val="0026548A"/>
    <w:rsid w:val="00265A5D"/>
    <w:rsid w:val="00265F18"/>
    <w:rsid w:val="0027030A"/>
    <w:rsid w:val="00270860"/>
    <w:rsid w:val="00271661"/>
    <w:rsid w:val="002716C7"/>
    <w:rsid w:val="002719E0"/>
    <w:rsid w:val="002742BA"/>
    <w:rsid w:val="00274A20"/>
    <w:rsid w:val="002750E1"/>
    <w:rsid w:val="00275111"/>
    <w:rsid w:val="00275428"/>
    <w:rsid w:val="0027587E"/>
    <w:rsid w:val="002761C7"/>
    <w:rsid w:val="002762AB"/>
    <w:rsid w:val="002765CC"/>
    <w:rsid w:val="00276838"/>
    <w:rsid w:val="00276CA2"/>
    <w:rsid w:val="00281468"/>
    <w:rsid w:val="0028158C"/>
    <w:rsid w:val="002816EE"/>
    <w:rsid w:val="00281852"/>
    <w:rsid w:val="00282BBE"/>
    <w:rsid w:val="002832D4"/>
    <w:rsid w:val="0028582F"/>
    <w:rsid w:val="0028655E"/>
    <w:rsid w:val="00286A71"/>
    <w:rsid w:val="00286FC6"/>
    <w:rsid w:val="00287C54"/>
    <w:rsid w:val="00290076"/>
    <w:rsid w:val="002908F6"/>
    <w:rsid w:val="00290F8D"/>
    <w:rsid w:val="002915A3"/>
    <w:rsid w:val="0029168A"/>
    <w:rsid w:val="00291BB8"/>
    <w:rsid w:val="002925A4"/>
    <w:rsid w:val="00293506"/>
    <w:rsid w:val="00293BCF"/>
    <w:rsid w:val="00295492"/>
    <w:rsid w:val="002954A5"/>
    <w:rsid w:val="002956E2"/>
    <w:rsid w:val="002963B8"/>
    <w:rsid w:val="00296B08"/>
    <w:rsid w:val="00296BB1"/>
    <w:rsid w:val="00297060"/>
    <w:rsid w:val="0029731E"/>
    <w:rsid w:val="00297611"/>
    <w:rsid w:val="00297A5C"/>
    <w:rsid w:val="00297B35"/>
    <w:rsid w:val="00297E68"/>
    <w:rsid w:val="002A00D5"/>
    <w:rsid w:val="002A06B9"/>
    <w:rsid w:val="002A2366"/>
    <w:rsid w:val="002A332C"/>
    <w:rsid w:val="002A4530"/>
    <w:rsid w:val="002A5523"/>
    <w:rsid w:val="002A652E"/>
    <w:rsid w:val="002A6BC1"/>
    <w:rsid w:val="002A6F5F"/>
    <w:rsid w:val="002A72D9"/>
    <w:rsid w:val="002B00B2"/>
    <w:rsid w:val="002B107D"/>
    <w:rsid w:val="002B2288"/>
    <w:rsid w:val="002B4A46"/>
    <w:rsid w:val="002B7138"/>
    <w:rsid w:val="002B7F93"/>
    <w:rsid w:val="002C006B"/>
    <w:rsid w:val="002C0DBF"/>
    <w:rsid w:val="002C0E45"/>
    <w:rsid w:val="002C143E"/>
    <w:rsid w:val="002C261C"/>
    <w:rsid w:val="002C2B6E"/>
    <w:rsid w:val="002C42B7"/>
    <w:rsid w:val="002C42EA"/>
    <w:rsid w:val="002C5D47"/>
    <w:rsid w:val="002C5DA7"/>
    <w:rsid w:val="002C5EC4"/>
    <w:rsid w:val="002C7DFE"/>
    <w:rsid w:val="002D04A5"/>
    <w:rsid w:val="002D0616"/>
    <w:rsid w:val="002D1AE2"/>
    <w:rsid w:val="002D28B3"/>
    <w:rsid w:val="002D2C9C"/>
    <w:rsid w:val="002D3062"/>
    <w:rsid w:val="002D3FF2"/>
    <w:rsid w:val="002D404F"/>
    <w:rsid w:val="002D416B"/>
    <w:rsid w:val="002D52BA"/>
    <w:rsid w:val="002D5DB0"/>
    <w:rsid w:val="002D71FC"/>
    <w:rsid w:val="002D7457"/>
    <w:rsid w:val="002E0023"/>
    <w:rsid w:val="002E0748"/>
    <w:rsid w:val="002E0BC0"/>
    <w:rsid w:val="002E0CBC"/>
    <w:rsid w:val="002E1562"/>
    <w:rsid w:val="002E17D9"/>
    <w:rsid w:val="002E1B36"/>
    <w:rsid w:val="002E1F50"/>
    <w:rsid w:val="002E1FB2"/>
    <w:rsid w:val="002E27D3"/>
    <w:rsid w:val="002E2ADA"/>
    <w:rsid w:val="002E3028"/>
    <w:rsid w:val="002E4173"/>
    <w:rsid w:val="002E4D66"/>
    <w:rsid w:val="002E5BA2"/>
    <w:rsid w:val="002E6BCB"/>
    <w:rsid w:val="002E7AF2"/>
    <w:rsid w:val="002E7BED"/>
    <w:rsid w:val="002F1245"/>
    <w:rsid w:val="002F124E"/>
    <w:rsid w:val="002F179C"/>
    <w:rsid w:val="002F1864"/>
    <w:rsid w:val="002F1C49"/>
    <w:rsid w:val="002F1F8C"/>
    <w:rsid w:val="002F2168"/>
    <w:rsid w:val="002F268D"/>
    <w:rsid w:val="002F339C"/>
    <w:rsid w:val="002F5B8A"/>
    <w:rsid w:val="002F707E"/>
    <w:rsid w:val="00300811"/>
    <w:rsid w:val="003020CA"/>
    <w:rsid w:val="00302F46"/>
    <w:rsid w:val="0030306C"/>
    <w:rsid w:val="00305B6D"/>
    <w:rsid w:val="00306872"/>
    <w:rsid w:val="00306F77"/>
    <w:rsid w:val="00307A77"/>
    <w:rsid w:val="00311675"/>
    <w:rsid w:val="0031199F"/>
    <w:rsid w:val="0031437C"/>
    <w:rsid w:val="0031553A"/>
    <w:rsid w:val="00316133"/>
    <w:rsid w:val="003175DB"/>
    <w:rsid w:val="00317859"/>
    <w:rsid w:val="00320885"/>
    <w:rsid w:val="00320B39"/>
    <w:rsid w:val="00320CDE"/>
    <w:rsid w:val="00320CF1"/>
    <w:rsid w:val="00320E3C"/>
    <w:rsid w:val="00321643"/>
    <w:rsid w:val="00321A29"/>
    <w:rsid w:val="00321D8C"/>
    <w:rsid w:val="003225A1"/>
    <w:rsid w:val="00322AA5"/>
    <w:rsid w:val="00322CB1"/>
    <w:rsid w:val="00323B84"/>
    <w:rsid w:val="00324090"/>
    <w:rsid w:val="00324708"/>
    <w:rsid w:val="0032560E"/>
    <w:rsid w:val="00326E74"/>
    <w:rsid w:val="003271A5"/>
    <w:rsid w:val="00327976"/>
    <w:rsid w:val="003313A5"/>
    <w:rsid w:val="003326C5"/>
    <w:rsid w:val="0033308E"/>
    <w:rsid w:val="003334F0"/>
    <w:rsid w:val="003337F5"/>
    <w:rsid w:val="00333B82"/>
    <w:rsid w:val="003342FD"/>
    <w:rsid w:val="003346CD"/>
    <w:rsid w:val="003347A0"/>
    <w:rsid w:val="00334876"/>
    <w:rsid w:val="00334A3C"/>
    <w:rsid w:val="00334B26"/>
    <w:rsid w:val="00334B8F"/>
    <w:rsid w:val="00335A7F"/>
    <w:rsid w:val="00335C58"/>
    <w:rsid w:val="0033681D"/>
    <w:rsid w:val="00337426"/>
    <w:rsid w:val="00337710"/>
    <w:rsid w:val="00340248"/>
    <w:rsid w:val="00340297"/>
    <w:rsid w:val="0034084D"/>
    <w:rsid w:val="00340CD0"/>
    <w:rsid w:val="00340F28"/>
    <w:rsid w:val="0034176C"/>
    <w:rsid w:val="003418E9"/>
    <w:rsid w:val="00342621"/>
    <w:rsid w:val="00342CAE"/>
    <w:rsid w:val="00345236"/>
    <w:rsid w:val="00345D52"/>
    <w:rsid w:val="00346881"/>
    <w:rsid w:val="00346945"/>
    <w:rsid w:val="00347872"/>
    <w:rsid w:val="00347BA0"/>
    <w:rsid w:val="00350573"/>
    <w:rsid w:val="00350B72"/>
    <w:rsid w:val="003515F7"/>
    <w:rsid w:val="00351655"/>
    <w:rsid w:val="00351877"/>
    <w:rsid w:val="00351EE5"/>
    <w:rsid w:val="003522D8"/>
    <w:rsid w:val="00352765"/>
    <w:rsid w:val="00352BC6"/>
    <w:rsid w:val="00353623"/>
    <w:rsid w:val="0035388F"/>
    <w:rsid w:val="00353980"/>
    <w:rsid w:val="0035475B"/>
    <w:rsid w:val="003548AC"/>
    <w:rsid w:val="00356AAD"/>
    <w:rsid w:val="00360D21"/>
    <w:rsid w:val="003626AC"/>
    <w:rsid w:val="00362E8A"/>
    <w:rsid w:val="00362F25"/>
    <w:rsid w:val="0036304F"/>
    <w:rsid w:val="00364ADE"/>
    <w:rsid w:val="00364FCB"/>
    <w:rsid w:val="00365E1D"/>
    <w:rsid w:val="00365EA0"/>
    <w:rsid w:val="00365F62"/>
    <w:rsid w:val="003660FB"/>
    <w:rsid w:val="0036620D"/>
    <w:rsid w:val="0036777E"/>
    <w:rsid w:val="00367EC2"/>
    <w:rsid w:val="003732F0"/>
    <w:rsid w:val="0037399E"/>
    <w:rsid w:val="00373BC8"/>
    <w:rsid w:val="00374555"/>
    <w:rsid w:val="00374968"/>
    <w:rsid w:val="00374F2B"/>
    <w:rsid w:val="003754A1"/>
    <w:rsid w:val="00375787"/>
    <w:rsid w:val="003759AF"/>
    <w:rsid w:val="00376F82"/>
    <w:rsid w:val="003771CE"/>
    <w:rsid w:val="00380B7F"/>
    <w:rsid w:val="00380C2E"/>
    <w:rsid w:val="00381F45"/>
    <w:rsid w:val="00382FA1"/>
    <w:rsid w:val="00383145"/>
    <w:rsid w:val="00383284"/>
    <w:rsid w:val="00384549"/>
    <w:rsid w:val="00384796"/>
    <w:rsid w:val="0038520B"/>
    <w:rsid w:val="0038567F"/>
    <w:rsid w:val="00387BA4"/>
    <w:rsid w:val="00390566"/>
    <w:rsid w:val="00391A42"/>
    <w:rsid w:val="003926E8"/>
    <w:rsid w:val="003935DB"/>
    <w:rsid w:val="00394105"/>
    <w:rsid w:val="00394988"/>
    <w:rsid w:val="00394BC2"/>
    <w:rsid w:val="00395CE4"/>
    <w:rsid w:val="00396CE3"/>
    <w:rsid w:val="00396D48"/>
    <w:rsid w:val="00397426"/>
    <w:rsid w:val="003A10FC"/>
    <w:rsid w:val="003A12FD"/>
    <w:rsid w:val="003A1473"/>
    <w:rsid w:val="003A1669"/>
    <w:rsid w:val="003A1718"/>
    <w:rsid w:val="003A19FF"/>
    <w:rsid w:val="003A1AAE"/>
    <w:rsid w:val="003A1C30"/>
    <w:rsid w:val="003A344A"/>
    <w:rsid w:val="003A4977"/>
    <w:rsid w:val="003A4CF5"/>
    <w:rsid w:val="003A4F61"/>
    <w:rsid w:val="003A6463"/>
    <w:rsid w:val="003A662E"/>
    <w:rsid w:val="003A713A"/>
    <w:rsid w:val="003B01B8"/>
    <w:rsid w:val="003B0E2B"/>
    <w:rsid w:val="003B1146"/>
    <w:rsid w:val="003B1274"/>
    <w:rsid w:val="003B2B19"/>
    <w:rsid w:val="003B3AB4"/>
    <w:rsid w:val="003B4BF2"/>
    <w:rsid w:val="003B4DB1"/>
    <w:rsid w:val="003B4ED2"/>
    <w:rsid w:val="003B5524"/>
    <w:rsid w:val="003B56ED"/>
    <w:rsid w:val="003B5944"/>
    <w:rsid w:val="003B6999"/>
    <w:rsid w:val="003B729C"/>
    <w:rsid w:val="003C0042"/>
    <w:rsid w:val="003C0B87"/>
    <w:rsid w:val="003C1047"/>
    <w:rsid w:val="003C230B"/>
    <w:rsid w:val="003C299E"/>
    <w:rsid w:val="003C3645"/>
    <w:rsid w:val="003C4969"/>
    <w:rsid w:val="003C5FAE"/>
    <w:rsid w:val="003C65A0"/>
    <w:rsid w:val="003D1A3C"/>
    <w:rsid w:val="003D2971"/>
    <w:rsid w:val="003D41A4"/>
    <w:rsid w:val="003D46F4"/>
    <w:rsid w:val="003D473A"/>
    <w:rsid w:val="003D4740"/>
    <w:rsid w:val="003D4AEC"/>
    <w:rsid w:val="003D5BA2"/>
    <w:rsid w:val="003D679E"/>
    <w:rsid w:val="003D69A9"/>
    <w:rsid w:val="003D7CDB"/>
    <w:rsid w:val="003E041D"/>
    <w:rsid w:val="003E0F0C"/>
    <w:rsid w:val="003E1534"/>
    <w:rsid w:val="003E170E"/>
    <w:rsid w:val="003E2C08"/>
    <w:rsid w:val="003E2FB6"/>
    <w:rsid w:val="003E31A7"/>
    <w:rsid w:val="003E3CFC"/>
    <w:rsid w:val="003E3DF2"/>
    <w:rsid w:val="003E3EF4"/>
    <w:rsid w:val="003E46A2"/>
    <w:rsid w:val="003E507B"/>
    <w:rsid w:val="003E5FA1"/>
    <w:rsid w:val="003F0E18"/>
    <w:rsid w:val="003F1941"/>
    <w:rsid w:val="003F1C1E"/>
    <w:rsid w:val="003F1F31"/>
    <w:rsid w:val="003F2922"/>
    <w:rsid w:val="003F3DE8"/>
    <w:rsid w:val="003F446F"/>
    <w:rsid w:val="003F50C0"/>
    <w:rsid w:val="003F5B0C"/>
    <w:rsid w:val="003F6E80"/>
    <w:rsid w:val="00400152"/>
    <w:rsid w:val="0040099A"/>
    <w:rsid w:val="004013E2"/>
    <w:rsid w:val="004017CE"/>
    <w:rsid w:val="004021A3"/>
    <w:rsid w:val="004026A5"/>
    <w:rsid w:val="00403377"/>
    <w:rsid w:val="00403941"/>
    <w:rsid w:val="00403B08"/>
    <w:rsid w:val="00403D0F"/>
    <w:rsid w:val="00404300"/>
    <w:rsid w:val="00405642"/>
    <w:rsid w:val="00405DA9"/>
    <w:rsid w:val="00406048"/>
    <w:rsid w:val="004067D3"/>
    <w:rsid w:val="004067FA"/>
    <w:rsid w:val="00406AE0"/>
    <w:rsid w:val="00407353"/>
    <w:rsid w:val="00407736"/>
    <w:rsid w:val="00407B84"/>
    <w:rsid w:val="0041164D"/>
    <w:rsid w:val="00411DBD"/>
    <w:rsid w:val="004121E5"/>
    <w:rsid w:val="00413CAD"/>
    <w:rsid w:val="00414B9D"/>
    <w:rsid w:val="00415702"/>
    <w:rsid w:val="0041665C"/>
    <w:rsid w:val="0041741F"/>
    <w:rsid w:val="004174BE"/>
    <w:rsid w:val="00417BAE"/>
    <w:rsid w:val="0042004F"/>
    <w:rsid w:val="004208B8"/>
    <w:rsid w:val="0042145B"/>
    <w:rsid w:val="004215D4"/>
    <w:rsid w:val="00423128"/>
    <w:rsid w:val="0042378D"/>
    <w:rsid w:val="00423D45"/>
    <w:rsid w:val="00423F29"/>
    <w:rsid w:val="0042496A"/>
    <w:rsid w:val="004260DF"/>
    <w:rsid w:val="004264D0"/>
    <w:rsid w:val="00426E23"/>
    <w:rsid w:val="004279A1"/>
    <w:rsid w:val="00430711"/>
    <w:rsid w:val="004311F7"/>
    <w:rsid w:val="0043133F"/>
    <w:rsid w:val="00431421"/>
    <w:rsid w:val="004326C0"/>
    <w:rsid w:val="00432B06"/>
    <w:rsid w:val="00433EC1"/>
    <w:rsid w:val="00434D8F"/>
    <w:rsid w:val="00434E69"/>
    <w:rsid w:val="004357FB"/>
    <w:rsid w:val="004358C6"/>
    <w:rsid w:val="00436090"/>
    <w:rsid w:val="00437D77"/>
    <w:rsid w:val="00437EB5"/>
    <w:rsid w:val="00440292"/>
    <w:rsid w:val="00441FA0"/>
    <w:rsid w:val="00444250"/>
    <w:rsid w:val="004442B6"/>
    <w:rsid w:val="00444B34"/>
    <w:rsid w:val="004458D1"/>
    <w:rsid w:val="00445C2F"/>
    <w:rsid w:val="0044726F"/>
    <w:rsid w:val="004473FF"/>
    <w:rsid w:val="0045075C"/>
    <w:rsid w:val="00450D8C"/>
    <w:rsid w:val="004520EF"/>
    <w:rsid w:val="004522E5"/>
    <w:rsid w:val="00452490"/>
    <w:rsid w:val="00452F83"/>
    <w:rsid w:val="0045382E"/>
    <w:rsid w:val="00453DD1"/>
    <w:rsid w:val="004542B0"/>
    <w:rsid w:val="004542CD"/>
    <w:rsid w:val="00454544"/>
    <w:rsid w:val="0045475B"/>
    <w:rsid w:val="0045488D"/>
    <w:rsid w:val="00455D10"/>
    <w:rsid w:val="00456198"/>
    <w:rsid w:val="00456881"/>
    <w:rsid w:val="0045698A"/>
    <w:rsid w:val="00456A40"/>
    <w:rsid w:val="004576B9"/>
    <w:rsid w:val="0045772A"/>
    <w:rsid w:val="00457A8D"/>
    <w:rsid w:val="00460347"/>
    <w:rsid w:val="0046062C"/>
    <w:rsid w:val="00460762"/>
    <w:rsid w:val="00460AD0"/>
    <w:rsid w:val="00460D79"/>
    <w:rsid w:val="004628F6"/>
    <w:rsid w:val="00465986"/>
    <w:rsid w:val="00465A19"/>
    <w:rsid w:val="00466422"/>
    <w:rsid w:val="0046724C"/>
    <w:rsid w:val="00470200"/>
    <w:rsid w:val="004715CE"/>
    <w:rsid w:val="00472858"/>
    <w:rsid w:val="00472A61"/>
    <w:rsid w:val="004739B2"/>
    <w:rsid w:val="00473CDB"/>
    <w:rsid w:val="00474C42"/>
    <w:rsid w:val="00475D1B"/>
    <w:rsid w:val="004766D8"/>
    <w:rsid w:val="00476CCA"/>
    <w:rsid w:val="00476F10"/>
    <w:rsid w:val="00476F71"/>
    <w:rsid w:val="004805FE"/>
    <w:rsid w:val="00480FEE"/>
    <w:rsid w:val="0048263E"/>
    <w:rsid w:val="00484E85"/>
    <w:rsid w:val="004853D4"/>
    <w:rsid w:val="0048544B"/>
    <w:rsid w:val="0048594F"/>
    <w:rsid w:val="00485EF4"/>
    <w:rsid w:val="00486E88"/>
    <w:rsid w:val="00486FEB"/>
    <w:rsid w:val="00487134"/>
    <w:rsid w:val="004872C6"/>
    <w:rsid w:val="00487F58"/>
    <w:rsid w:val="00490174"/>
    <w:rsid w:val="004904CC"/>
    <w:rsid w:val="004904DF"/>
    <w:rsid w:val="00490818"/>
    <w:rsid w:val="00490A7A"/>
    <w:rsid w:val="004911C5"/>
    <w:rsid w:val="00491916"/>
    <w:rsid w:val="00492333"/>
    <w:rsid w:val="00492C77"/>
    <w:rsid w:val="00492E65"/>
    <w:rsid w:val="004953A6"/>
    <w:rsid w:val="00495C46"/>
    <w:rsid w:val="0049608B"/>
    <w:rsid w:val="00497199"/>
    <w:rsid w:val="00497F96"/>
    <w:rsid w:val="004A12B6"/>
    <w:rsid w:val="004A192C"/>
    <w:rsid w:val="004A1ACB"/>
    <w:rsid w:val="004A3199"/>
    <w:rsid w:val="004A362D"/>
    <w:rsid w:val="004A369D"/>
    <w:rsid w:val="004A3742"/>
    <w:rsid w:val="004A4619"/>
    <w:rsid w:val="004A62E9"/>
    <w:rsid w:val="004A6F0D"/>
    <w:rsid w:val="004A71F1"/>
    <w:rsid w:val="004B0530"/>
    <w:rsid w:val="004B076E"/>
    <w:rsid w:val="004B1D48"/>
    <w:rsid w:val="004B2741"/>
    <w:rsid w:val="004B3BC1"/>
    <w:rsid w:val="004B49E6"/>
    <w:rsid w:val="004B4F85"/>
    <w:rsid w:val="004B4F8A"/>
    <w:rsid w:val="004B6739"/>
    <w:rsid w:val="004B69E9"/>
    <w:rsid w:val="004B6B42"/>
    <w:rsid w:val="004B7150"/>
    <w:rsid w:val="004B72F5"/>
    <w:rsid w:val="004B7855"/>
    <w:rsid w:val="004B796A"/>
    <w:rsid w:val="004C014C"/>
    <w:rsid w:val="004C04B3"/>
    <w:rsid w:val="004C07D8"/>
    <w:rsid w:val="004C20A9"/>
    <w:rsid w:val="004C29E0"/>
    <w:rsid w:val="004C36E0"/>
    <w:rsid w:val="004C3B18"/>
    <w:rsid w:val="004C409E"/>
    <w:rsid w:val="004C4DE4"/>
    <w:rsid w:val="004C5061"/>
    <w:rsid w:val="004C6F05"/>
    <w:rsid w:val="004D0015"/>
    <w:rsid w:val="004D034B"/>
    <w:rsid w:val="004D1592"/>
    <w:rsid w:val="004D2A16"/>
    <w:rsid w:val="004D31A3"/>
    <w:rsid w:val="004D3484"/>
    <w:rsid w:val="004D4CCF"/>
    <w:rsid w:val="004D4F05"/>
    <w:rsid w:val="004D5520"/>
    <w:rsid w:val="004D5766"/>
    <w:rsid w:val="004D5B9F"/>
    <w:rsid w:val="004D6680"/>
    <w:rsid w:val="004D7303"/>
    <w:rsid w:val="004D792F"/>
    <w:rsid w:val="004D7F3C"/>
    <w:rsid w:val="004E0E60"/>
    <w:rsid w:val="004E17AD"/>
    <w:rsid w:val="004E1BB5"/>
    <w:rsid w:val="004E1C5F"/>
    <w:rsid w:val="004E20FE"/>
    <w:rsid w:val="004E29DE"/>
    <w:rsid w:val="004E6526"/>
    <w:rsid w:val="004E6CA5"/>
    <w:rsid w:val="004E70CA"/>
    <w:rsid w:val="004E73FE"/>
    <w:rsid w:val="004E7B54"/>
    <w:rsid w:val="004F1D97"/>
    <w:rsid w:val="004F32F7"/>
    <w:rsid w:val="004F339A"/>
    <w:rsid w:val="004F3929"/>
    <w:rsid w:val="004F43CE"/>
    <w:rsid w:val="004F47C3"/>
    <w:rsid w:val="004F4E5B"/>
    <w:rsid w:val="00500C45"/>
    <w:rsid w:val="00501220"/>
    <w:rsid w:val="0050163A"/>
    <w:rsid w:val="00502F6C"/>
    <w:rsid w:val="00503343"/>
    <w:rsid w:val="00503C51"/>
    <w:rsid w:val="00503C6B"/>
    <w:rsid w:val="005054E1"/>
    <w:rsid w:val="005061EB"/>
    <w:rsid w:val="005064AF"/>
    <w:rsid w:val="005107B0"/>
    <w:rsid w:val="00511BF1"/>
    <w:rsid w:val="00512460"/>
    <w:rsid w:val="00512498"/>
    <w:rsid w:val="00512DBC"/>
    <w:rsid w:val="0051307A"/>
    <w:rsid w:val="00513238"/>
    <w:rsid w:val="005151DC"/>
    <w:rsid w:val="0051551D"/>
    <w:rsid w:val="005157A0"/>
    <w:rsid w:val="00515820"/>
    <w:rsid w:val="00515943"/>
    <w:rsid w:val="00516D6A"/>
    <w:rsid w:val="00517334"/>
    <w:rsid w:val="00517DD0"/>
    <w:rsid w:val="005209DC"/>
    <w:rsid w:val="00520CEF"/>
    <w:rsid w:val="0052370B"/>
    <w:rsid w:val="005245ED"/>
    <w:rsid w:val="005249BE"/>
    <w:rsid w:val="005249DF"/>
    <w:rsid w:val="00525783"/>
    <w:rsid w:val="00525940"/>
    <w:rsid w:val="00525B88"/>
    <w:rsid w:val="00525D22"/>
    <w:rsid w:val="005261BD"/>
    <w:rsid w:val="00526C4E"/>
    <w:rsid w:val="00526EC5"/>
    <w:rsid w:val="00527CCA"/>
    <w:rsid w:val="00530F69"/>
    <w:rsid w:val="005314E7"/>
    <w:rsid w:val="00532752"/>
    <w:rsid w:val="00532FB9"/>
    <w:rsid w:val="00533062"/>
    <w:rsid w:val="00533092"/>
    <w:rsid w:val="00533BA1"/>
    <w:rsid w:val="00535882"/>
    <w:rsid w:val="00536362"/>
    <w:rsid w:val="00536530"/>
    <w:rsid w:val="005368A8"/>
    <w:rsid w:val="00536EF2"/>
    <w:rsid w:val="00536F96"/>
    <w:rsid w:val="005372AE"/>
    <w:rsid w:val="00537ADA"/>
    <w:rsid w:val="00540234"/>
    <w:rsid w:val="0054023C"/>
    <w:rsid w:val="005402BE"/>
    <w:rsid w:val="005418E7"/>
    <w:rsid w:val="00541B16"/>
    <w:rsid w:val="00544303"/>
    <w:rsid w:val="00545C68"/>
    <w:rsid w:val="00545CA2"/>
    <w:rsid w:val="00545E25"/>
    <w:rsid w:val="005461B7"/>
    <w:rsid w:val="00546523"/>
    <w:rsid w:val="00547EEC"/>
    <w:rsid w:val="005500AF"/>
    <w:rsid w:val="00550657"/>
    <w:rsid w:val="005511A2"/>
    <w:rsid w:val="0055128D"/>
    <w:rsid w:val="005521CA"/>
    <w:rsid w:val="00552EFE"/>
    <w:rsid w:val="00552F7A"/>
    <w:rsid w:val="0055303F"/>
    <w:rsid w:val="0055485D"/>
    <w:rsid w:val="00554DF1"/>
    <w:rsid w:val="005556E3"/>
    <w:rsid w:val="00555B36"/>
    <w:rsid w:val="00555C27"/>
    <w:rsid w:val="005574AF"/>
    <w:rsid w:val="005576A2"/>
    <w:rsid w:val="00557951"/>
    <w:rsid w:val="00561C76"/>
    <w:rsid w:val="00563AD8"/>
    <w:rsid w:val="005642C3"/>
    <w:rsid w:val="005661E7"/>
    <w:rsid w:val="00566778"/>
    <w:rsid w:val="00566AE4"/>
    <w:rsid w:val="0056704E"/>
    <w:rsid w:val="005700BB"/>
    <w:rsid w:val="0057020A"/>
    <w:rsid w:val="00571578"/>
    <w:rsid w:val="0057280A"/>
    <w:rsid w:val="00572D34"/>
    <w:rsid w:val="00573FB8"/>
    <w:rsid w:val="00574BF7"/>
    <w:rsid w:val="005750A7"/>
    <w:rsid w:val="00576077"/>
    <w:rsid w:val="00576235"/>
    <w:rsid w:val="005765B5"/>
    <w:rsid w:val="0057667D"/>
    <w:rsid w:val="00576C75"/>
    <w:rsid w:val="00577324"/>
    <w:rsid w:val="005802A7"/>
    <w:rsid w:val="005804CB"/>
    <w:rsid w:val="00580518"/>
    <w:rsid w:val="0058152C"/>
    <w:rsid w:val="00581B18"/>
    <w:rsid w:val="00582348"/>
    <w:rsid w:val="0058259C"/>
    <w:rsid w:val="00583722"/>
    <w:rsid w:val="00583E09"/>
    <w:rsid w:val="00584A62"/>
    <w:rsid w:val="00584D64"/>
    <w:rsid w:val="005853C7"/>
    <w:rsid w:val="005856AE"/>
    <w:rsid w:val="005858F1"/>
    <w:rsid w:val="00586684"/>
    <w:rsid w:val="00586A80"/>
    <w:rsid w:val="00587796"/>
    <w:rsid w:val="00587C48"/>
    <w:rsid w:val="005900F4"/>
    <w:rsid w:val="00590315"/>
    <w:rsid w:val="00591AFE"/>
    <w:rsid w:val="005923AA"/>
    <w:rsid w:val="00592A3C"/>
    <w:rsid w:val="00592BF7"/>
    <w:rsid w:val="00592CA1"/>
    <w:rsid w:val="00593411"/>
    <w:rsid w:val="00593C7A"/>
    <w:rsid w:val="00593E92"/>
    <w:rsid w:val="005944F1"/>
    <w:rsid w:val="00594E96"/>
    <w:rsid w:val="005959B8"/>
    <w:rsid w:val="00597737"/>
    <w:rsid w:val="005A009A"/>
    <w:rsid w:val="005A122E"/>
    <w:rsid w:val="005A125E"/>
    <w:rsid w:val="005A126C"/>
    <w:rsid w:val="005A1D5B"/>
    <w:rsid w:val="005A1E15"/>
    <w:rsid w:val="005A295B"/>
    <w:rsid w:val="005A2BC7"/>
    <w:rsid w:val="005A4105"/>
    <w:rsid w:val="005A4673"/>
    <w:rsid w:val="005A475A"/>
    <w:rsid w:val="005A5174"/>
    <w:rsid w:val="005A5497"/>
    <w:rsid w:val="005A5735"/>
    <w:rsid w:val="005A6AEC"/>
    <w:rsid w:val="005A7616"/>
    <w:rsid w:val="005A7835"/>
    <w:rsid w:val="005A79BD"/>
    <w:rsid w:val="005A7E87"/>
    <w:rsid w:val="005B00D8"/>
    <w:rsid w:val="005B124C"/>
    <w:rsid w:val="005B2DF1"/>
    <w:rsid w:val="005B3759"/>
    <w:rsid w:val="005B420F"/>
    <w:rsid w:val="005B6199"/>
    <w:rsid w:val="005B7231"/>
    <w:rsid w:val="005B7B57"/>
    <w:rsid w:val="005B7BB6"/>
    <w:rsid w:val="005C037D"/>
    <w:rsid w:val="005C251E"/>
    <w:rsid w:val="005C4B9C"/>
    <w:rsid w:val="005C59A1"/>
    <w:rsid w:val="005C5ACC"/>
    <w:rsid w:val="005C5F8E"/>
    <w:rsid w:val="005C6465"/>
    <w:rsid w:val="005C7228"/>
    <w:rsid w:val="005C77E3"/>
    <w:rsid w:val="005D0064"/>
    <w:rsid w:val="005D104B"/>
    <w:rsid w:val="005D1A4D"/>
    <w:rsid w:val="005D21CD"/>
    <w:rsid w:val="005D2759"/>
    <w:rsid w:val="005D2C2C"/>
    <w:rsid w:val="005D2F67"/>
    <w:rsid w:val="005D37D5"/>
    <w:rsid w:val="005D4A43"/>
    <w:rsid w:val="005D5336"/>
    <w:rsid w:val="005D56DC"/>
    <w:rsid w:val="005D6367"/>
    <w:rsid w:val="005D63C1"/>
    <w:rsid w:val="005D6BB6"/>
    <w:rsid w:val="005D6DA9"/>
    <w:rsid w:val="005D6F7C"/>
    <w:rsid w:val="005E2687"/>
    <w:rsid w:val="005E3D95"/>
    <w:rsid w:val="005E463A"/>
    <w:rsid w:val="005E4FF1"/>
    <w:rsid w:val="005E5693"/>
    <w:rsid w:val="005E5F86"/>
    <w:rsid w:val="005E5FA2"/>
    <w:rsid w:val="005E6364"/>
    <w:rsid w:val="005E6C47"/>
    <w:rsid w:val="005E738E"/>
    <w:rsid w:val="005F024C"/>
    <w:rsid w:val="005F0359"/>
    <w:rsid w:val="005F24E6"/>
    <w:rsid w:val="005F44D1"/>
    <w:rsid w:val="005F67A5"/>
    <w:rsid w:val="005F72B8"/>
    <w:rsid w:val="005F784F"/>
    <w:rsid w:val="00601100"/>
    <w:rsid w:val="006024E4"/>
    <w:rsid w:val="00603008"/>
    <w:rsid w:val="00603643"/>
    <w:rsid w:val="00603A13"/>
    <w:rsid w:val="00604758"/>
    <w:rsid w:val="00605BDB"/>
    <w:rsid w:val="00605D35"/>
    <w:rsid w:val="00605E2E"/>
    <w:rsid w:val="00605EEB"/>
    <w:rsid w:val="00605F9A"/>
    <w:rsid w:val="00607D94"/>
    <w:rsid w:val="0061038B"/>
    <w:rsid w:val="006103B7"/>
    <w:rsid w:val="0061044E"/>
    <w:rsid w:val="00610A11"/>
    <w:rsid w:val="006118A8"/>
    <w:rsid w:val="00612DA0"/>
    <w:rsid w:val="00614337"/>
    <w:rsid w:val="00614CD3"/>
    <w:rsid w:val="00615198"/>
    <w:rsid w:val="0061547C"/>
    <w:rsid w:val="00616B3B"/>
    <w:rsid w:val="00617758"/>
    <w:rsid w:val="006216CE"/>
    <w:rsid w:val="00622217"/>
    <w:rsid w:val="006245FD"/>
    <w:rsid w:val="006247A2"/>
    <w:rsid w:val="00625052"/>
    <w:rsid w:val="0062532F"/>
    <w:rsid w:val="00625462"/>
    <w:rsid w:val="00625544"/>
    <w:rsid w:val="00626248"/>
    <w:rsid w:val="00626A13"/>
    <w:rsid w:val="006272D3"/>
    <w:rsid w:val="0062760F"/>
    <w:rsid w:val="00630B59"/>
    <w:rsid w:val="00630F73"/>
    <w:rsid w:val="0063202B"/>
    <w:rsid w:val="00632C71"/>
    <w:rsid w:val="00632CC4"/>
    <w:rsid w:val="0063344E"/>
    <w:rsid w:val="00634AEE"/>
    <w:rsid w:val="006350DC"/>
    <w:rsid w:val="00635268"/>
    <w:rsid w:val="006352D0"/>
    <w:rsid w:val="00635354"/>
    <w:rsid w:val="006370C9"/>
    <w:rsid w:val="006371B1"/>
    <w:rsid w:val="0063770C"/>
    <w:rsid w:val="00637929"/>
    <w:rsid w:val="00637D18"/>
    <w:rsid w:val="00641A49"/>
    <w:rsid w:val="00641D51"/>
    <w:rsid w:val="00642761"/>
    <w:rsid w:val="00642D5E"/>
    <w:rsid w:val="00642F50"/>
    <w:rsid w:val="006435BF"/>
    <w:rsid w:val="0064497A"/>
    <w:rsid w:val="0064631B"/>
    <w:rsid w:val="00647F3C"/>
    <w:rsid w:val="00650546"/>
    <w:rsid w:val="00650778"/>
    <w:rsid w:val="00650F7D"/>
    <w:rsid w:val="0065104A"/>
    <w:rsid w:val="006514C3"/>
    <w:rsid w:val="006516BA"/>
    <w:rsid w:val="00651897"/>
    <w:rsid w:val="00651B91"/>
    <w:rsid w:val="00652367"/>
    <w:rsid w:val="00652B7E"/>
    <w:rsid w:val="00652BB4"/>
    <w:rsid w:val="00654C03"/>
    <w:rsid w:val="006558F4"/>
    <w:rsid w:val="00655E45"/>
    <w:rsid w:val="00655F12"/>
    <w:rsid w:val="006560C1"/>
    <w:rsid w:val="006566C7"/>
    <w:rsid w:val="00656931"/>
    <w:rsid w:val="00656BE6"/>
    <w:rsid w:val="00660295"/>
    <w:rsid w:val="006605FF"/>
    <w:rsid w:val="0066145A"/>
    <w:rsid w:val="00661964"/>
    <w:rsid w:val="0066245E"/>
    <w:rsid w:val="006625CF"/>
    <w:rsid w:val="00662B41"/>
    <w:rsid w:val="006638BB"/>
    <w:rsid w:val="00664087"/>
    <w:rsid w:val="0066409A"/>
    <w:rsid w:val="0066487B"/>
    <w:rsid w:val="00664D8C"/>
    <w:rsid w:val="0066533E"/>
    <w:rsid w:val="00665500"/>
    <w:rsid w:val="0066694F"/>
    <w:rsid w:val="00670E14"/>
    <w:rsid w:val="00671085"/>
    <w:rsid w:val="0067119D"/>
    <w:rsid w:val="00671F89"/>
    <w:rsid w:val="00672926"/>
    <w:rsid w:val="00672DF3"/>
    <w:rsid w:val="00674C80"/>
    <w:rsid w:val="00675743"/>
    <w:rsid w:val="00680427"/>
    <w:rsid w:val="006807CE"/>
    <w:rsid w:val="00680D01"/>
    <w:rsid w:val="00681027"/>
    <w:rsid w:val="00681251"/>
    <w:rsid w:val="006812F6"/>
    <w:rsid w:val="00681B47"/>
    <w:rsid w:val="00681B5B"/>
    <w:rsid w:val="00681D8E"/>
    <w:rsid w:val="00683466"/>
    <w:rsid w:val="006834F6"/>
    <w:rsid w:val="0068374A"/>
    <w:rsid w:val="00684495"/>
    <w:rsid w:val="00684640"/>
    <w:rsid w:val="006846CC"/>
    <w:rsid w:val="00684CB0"/>
    <w:rsid w:val="00684E4F"/>
    <w:rsid w:val="00684EA3"/>
    <w:rsid w:val="006850F4"/>
    <w:rsid w:val="0068588F"/>
    <w:rsid w:val="00685B8F"/>
    <w:rsid w:val="00686FA8"/>
    <w:rsid w:val="00687E51"/>
    <w:rsid w:val="00690CFC"/>
    <w:rsid w:val="006915B4"/>
    <w:rsid w:val="00691A07"/>
    <w:rsid w:val="00692EC1"/>
    <w:rsid w:val="0069327C"/>
    <w:rsid w:val="00694077"/>
    <w:rsid w:val="006947F2"/>
    <w:rsid w:val="0069507D"/>
    <w:rsid w:val="00696127"/>
    <w:rsid w:val="0069664A"/>
    <w:rsid w:val="006A130D"/>
    <w:rsid w:val="006A1836"/>
    <w:rsid w:val="006A19FD"/>
    <w:rsid w:val="006A317A"/>
    <w:rsid w:val="006A36EC"/>
    <w:rsid w:val="006A3DA4"/>
    <w:rsid w:val="006A4C94"/>
    <w:rsid w:val="006A4D5E"/>
    <w:rsid w:val="006A5003"/>
    <w:rsid w:val="006A66CC"/>
    <w:rsid w:val="006A6CA9"/>
    <w:rsid w:val="006A7658"/>
    <w:rsid w:val="006B0CE2"/>
    <w:rsid w:val="006B10BB"/>
    <w:rsid w:val="006B2A44"/>
    <w:rsid w:val="006B2F47"/>
    <w:rsid w:val="006B542F"/>
    <w:rsid w:val="006B5E17"/>
    <w:rsid w:val="006B7474"/>
    <w:rsid w:val="006B75E7"/>
    <w:rsid w:val="006B7E4A"/>
    <w:rsid w:val="006C06B1"/>
    <w:rsid w:val="006C14D1"/>
    <w:rsid w:val="006C26F5"/>
    <w:rsid w:val="006C317B"/>
    <w:rsid w:val="006C4A9D"/>
    <w:rsid w:val="006C4FE7"/>
    <w:rsid w:val="006C5884"/>
    <w:rsid w:val="006C5F2A"/>
    <w:rsid w:val="006C61F8"/>
    <w:rsid w:val="006C671B"/>
    <w:rsid w:val="006C698E"/>
    <w:rsid w:val="006C6A73"/>
    <w:rsid w:val="006C73E8"/>
    <w:rsid w:val="006C7F65"/>
    <w:rsid w:val="006D04D4"/>
    <w:rsid w:val="006D0613"/>
    <w:rsid w:val="006D1154"/>
    <w:rsid w:val="006D13B2"/>
    <w:rsid w:val="006D1530"/>
    <w:rsid w:val="006D2C3F"/>
    <w:rsid w:val="006D3DFA"/>
    <w:rsid w:val="006D40B9"/>
    <w:rsid w:val="006D418D"/>
    <w:rsid w:val="006D41DA"/>
    <w:rsid w:val="006D4F82"/>
    <w:rsid w:val="006D5420"/>
    <w:rsid w:val="006D5781"/>
    <w:rsid w:val="006D63FA"/>
    <w:rsid w:val="006D6F34"/>
    <w:rsid w:val="006D702A"/>
    <w:rsid w:val="006D772B"/>
    <w:rsid w:val="006E02B2"/>
    <w:rsid w:val="006E09FF"/>
    <w:rsid w:val="006E13A2"/>
    <w:rsid w:val="006E25B5"/>
    <w:rsid w:val="006E25F8"/>
    <w:rsid w:val="006E28A8"/>
    <w:rsid w:val="006E3E18"/>
    <w:rsid w:val="006E4A0D"/>
    <w:rsid w:val="006E5418"/>
    <w:rsid w:val="006E5ED1"/>
    <w:rsid w:val="006E6F7A"/>
    <w:rsid w:val="006E721A"/>
    <w:rsid w:val="006E7C95"/>
    <w:rsid w:val="006F0790"/>
    <w:rsid w:val="006F0CED"/>
    <w:rsid w:val="006F19C5"/>
    <w:rsid w:val="006F22A0"/>
    <w:rsid w:val="006F22AA"/>
    <w:rsid w:val="006F26DB"/>
    <w:rsid w:val="006F2AA1"/>
    <w:rsid w:val="006F2CEB"/>
    <w:rsid w:val="006F338A"/>
    <w:rsid w:val="006F3412"/>
    <w:rsid w:val="006F3653"/>
    <w:rsid w:val="006F36A5"/>
    <w:rsid w:val="006F399B"/>
    <w:rsid w:val="006F4C50"/>
    <w:rsid w:val="006F5225"/>
    <w:rsid w:val="006F5841"/>
    <w:rsid w:val="006F5E49"/>
    <w:rsid w:val="007013A4"/>
    <w:rsid w:val="007015F8"/>
    <w:rsid w:val="00702DBE"/>
    <w:rsid w:val="007031EF"/>
    <w:rsid w:val="00703B8B"/>
    <w:rsid w:val="00703D7E"/>
    <w:rsid w:val="007053C5"/>
    <w:rsid w:val="00705FB8"/>
    <w:rsid w:val="0070646B"/>
    <w:rsid w:val="00706B6D"/>
    <w:rsid w:val="00706C53"/>
    <w:rsid w:val="00706E67"/>
    <w:rsid w:val="0070707D"/>
    <w:rsid w:val="00707BDE"/>
    <w:rsid w:val="007100E9"/>
    <w:rsid w:val="00712CCB"/>
    <w:rsid w:val="00712F0A"/>
    <w:rsid w:val="00713096"/>
    <w:rsid w:val="00713154"/>
    <w:rsid w:val="00714D04"/>
    <w:rsid w:val="00714EDE"/>
    <w:rsid w:val="00716D0F"/>
    <w:rsid w:val="0071767E"/>
    <w:rsid w:val="00717A47"/>
    <w:rsid w:val="00717BCE"/>
    <w:rsid w:val="00717FE5"/>
    <w:rsid w:val="007200AB"/>
    <w:rsid w:val="0072022C"/>
    <w:rsid w:val="007205AD"/>
    <w:rsid w:val="0072061F"/>
    <w:rsid w:val="00722DDA"/>
    <w:rsid w:val="007249A9"/>
    <w:rsid w:val="00725179"/>
    <w:rsid w:val="007255CF"/>
    <w:rsid w:val="007262CD"/>
    <w:rsid w:val="00727041"/>
    <w:rsid w:val="0073013B"/>
    <w:rsid w:val="0073095A"/>
    <w:rsid w:val="007311A5"/>
    <w:rsid w:val="00731622"/>
    <w:rsid w:val="007316DB"/>
    <w:rsid w:val="00732096"/>
    <w:rsid w:val="00732141"/>
    <w:rsid w:val="00732CC0"/>
    <w:rsid w:val="0073364D"/>
    <w:rsid w:val="0073398F"/>
    <w:rsid w:val="00733F0C"/>
    <w:rsid w:val="00734995"/>
    <w:rsid w:val="0073539F"/>
    <w:rsid w:val="007359E6"/>
    <w:rsid w:val="00735A4B"/>
    <w:rsid w:val="00735EDA"/>
    <w:rsid w:val="007374B9"/>
    <w:rsid w:val="0074077E"/>
    <w:rsid w:val="00740F96"/>
    <w:rsid w:val="00741A36"/>
    <w:rsid w:val="00743246"/>
    <w:rsid w:val="00743D98"/>
    <w:rsid w:val="0074406A"/>
    <w:rsid w:val="007450F3"/>
    <w:rsid w:val="0074569B"/>
    <w:rsid w:val="00745D9A"/>
    <w:rsid w:val="007467AE"/>
    <w:rsid w:val="00746F56"/>
    <w:rsid w:val="00747C33"/>
    <w:rsid w:val="00750A37"/>
    <w:rsid w:val="00751082"/>
    <w:rsid w:val="007520DF"/>
    <w:rsid w:val="00752983"/>
    <w:rsid w:val="00752B97"/>
    <w:rsid w:val="007530C3"/>
    <w:rsid w:val="007535B9"/>
    <w:rsid w:val="00753E9C"/>
    <w:rsid w:val="007540F4"/>
    <w:rsid w:val="00754B17"/>
    <w:rsid w:val="00754C36"/>
    <w:rsid w:val="00755E64"/>
    <w:rsid w:val="00756081"/>
    <w:rsid w:val="00756F40"/>
    <w:rsid w:val="0075749E"/>
    <w:rsid w:val="0075768C"/>
    <w:rsid w:val="007577E0"/>
    <w:rsid w:val="00757849"/>
    <w:rsid w:val="00760946"/>
    <w:rsid w:val="00760A27"/>
    <w:rsid w:val="00760A55"/>
    <w:rsid w:val="00761ECE"/>
    <w:rsid w:val="007630F5"/>
    <w:rsid w:val="007635B0"/>
    <w:rsid w:val="00764234"/>
    <w:rsid w:val="007646FA"/>
    <w:rsid w:val="007647C3"/>
    <w:rsid w:val="00764A50"/>
    <w:rsid w:val="00764D6D"/>
    <w:rsid w:val="00764EC4"/>
    <w:rsid w:val="00766016"/>
    <w:rsid w:val="00766695"/>
    <w:rsid w:val="00766B0F"/>
    <w:rsid w:val="00767F0B"/>
    <w:rsid w:val="0077022A"/>
    <w:rsid w:val="00770DE7"/>
    <w:rsid w:val="00772802"/>
    <w:rsid w:val="0077474C"/>
    <w:rsid w:val="00774A03"/>
    <w:rsid w:val="00776F18"/>
    <w:rsid w:val="007777AD"/>
    <w:rsid w:val="0077791C"/>
    <w:rsid w:val="007804CC"/>
    <w:rsid w:val="007815DD"/>
    <w:rsid w:val="00781DD5"/>
    <w:rsid w:val="00782201"/>
    <w:rsid w:val="00784E13"/>
    <w:rsid w:val="0078584C"/>
    <w:rsid w:val="00786C82"/>
    <w:rsid w:val="00786E07"/>
    <w:rsid w:val="0079021E"/>
    <w:rsid w:val="00790694"/>
    <w:rsid w:val="00791609"/>
    <w:rsid w:val="007916CB"/>
    <w:rsid w:val="0079200E"/>
    <w:rsid w:val="00792847"/>
    <w:rsid w:val="00793078"/>
    <w:rsid w:val="00793DD0"/>
    <w:rsid w:val="007947BB"/>
    <w:rsid w:val="00795308"/>
    <w:rsid w:val="0079558D"/>
    <w:rsid w:val="0079558E"/>
    <w:rsid w:val="00795646"/>
    <w:rsid w:val="00795EBD"/>
    <w:rsid w:val="00795F36"/>
    <w:rsid w:val="007969C5"/>
    <w:rsid w:val="00796E49"/>
    <w:rsid w:val="007A0249"/>
    <w:rsid w:val="007A0827"/>
    <w:rsid w:val="007A0AA9"/>
    <w:rsid w:val="007A16EE"/>
    <w:rsid w:val="007A1D1E"/>
    <w:rsid w:val="007A2CD3"/>
    <w:rsid w:val="007A3476"/>
    <w:rsid w:val="007A37E6"/>
    <w:rsid w:val="007A3A70"/>
    <w:rsid w:val="007A3ED5"/>
    <w:rsid w:val="007A41F5"/>
    <w:rsid w:val="007A43FC"/>
    <w:rsid w:val="007A6153"/>
    <w:rsid w:val="007A6D89"/>
    <w:rsid w:val="007A7338"/>
    <w:rsid w:val="007A75EA"/>
    <w:rsid w:val="007A76E6"/>
    <w:rsid w:val="007A7A13"/>
    <w:rsid w:val="007B010F"/>
    <w:rsid w:val="007B1346"/>
    <w:rsid w:val="007B21C2"/>
    <w:rsid w:val="007B3296"/>
    <w:rsid w:val="007B376B"/>
    <w:rsid w:val="007B45A4"/>
    <w:rsid w:val="007B4BA9"/>
    <w:rsid w:val="007B599D"/>
    <w:rsid w:val="007B5B85"/>
    <w:rsid w:val="007B5F58"/>
    <w:rsid w:val="007B625B"/>
    <w:rsid w:val="007B6883"/>
    <w:rsid w:val="007B6F80"/>
    <w:rsid w:val="007B716A"/>
    <w:rsid w:val="007B74AE"/>
    <w:rsid w:val="007B7626"/>
    <w:rsid w:val="007C00B1"/>
    <w:rsid w:val="007C040F"/>
    <w:rsid w:val="007C0968"/>
    <w:rsid w:val="007C1F0E"/>
    <w:rsid w:val="007C265A"/>
    <w:rsid w:val="007C2B98"/>
    <w:rsid w:val="007C2BFD"/>
    <w:rsid w:val="007C3197"/>
    <w:rsid w:val="007C4AE2"/>
    <w:rsid w:val="007C51B1"/>
    <w:rsid w:val="007C5700"/>
    <w:rsid w:val="007C790E"/>
    <w:rsid w:val="007D06FB"/>
    <w:rsid w:val="007D0A47"/>
    <w:rsid w:val="007D136B"/>
    <w:rsid w:val="007D138B"/>
    <w:rsid w:val="007D249B"/>
    <w:rsid w:val="007D2575"/>
    <w:rsid w:val="007D2A86"/>
    <w:rsid w:val="007D2AEA"/>
    <w:rsid w:val="007D46DB"/>
    <w:rsid w:val="007D6DA1"/>
    <w:rsid w:val="007D716E"/>
    <w:rsid w:val="007D7193"/>
    <w:rsid w:val="007D7538"/>
    <w:rsid w:val="007E0177"/>
    <w:rsid w:val="007E117D"/>
    <w:rsid w:val="007E175F"/>
    <w:rsid w:val="007E1DBD"/>
    <w:rsid w:val="007E1E25"/>
    <w:rsid w:val="007E24E9"/>
    <w:rsid w:val="007E2FE4"/>
    <w:rsid w:val="007E32D3"/>
    <w:rsid w:val="007E34B5"/>
    <w:rsid w:val="007E363C"/>
    <w:rsid w:val="007E3964"/>
    <w:rsid w:val="007E3E4A"/>
    <w:rsid w:val="007E50DE"/>
    <w:rsid w:val="007E5BBE"/>
    <w:rsid w:val="007E5E6C"/>
    <w:rsid w:val="007E6F99"/>
    <w:rsid w:val="007E71B9"/>
    <w:rsid w:val="007E7C86"/>
    <w:rsid w:val="007F0236"/>
    <w:rsid w:val="007F07DC"/>
    <w:rsid w:val="007F09D2"/>
    <w:rsid w:val="007F0A08"/>
    <w:rsid w:val="007F0EC5"/>
    <w:rsid w:val="007F190F"/>
    <w:rsid w:val="007F1C1A"/>
    <w:rsid w:val="007F24B3"/>
    <w:rsid w:val="007F378E"/>
    <w:rsid w:val="007F3EA3"/>
    <w:rsid w:val="007F403D"/>
    <w:rsid w:val="007F4B8E"/>
    <w:rsid w:val="007F4C66"/>
    <w:rsid w:val="007F5A60"/>
    <w:rsid w:val="007F5C27"/>
    <w:rsid w:val="007F73DF"/>
    <w:rsid w:val="007F76FD"/>
    <w:rsid w:val="00800409"/>
    <w:rsid w:val="00801412"/>
    <w:rsid w:val="00801454"/>
    <w:rsid w:val="0080146A"/>
    <w:rsid w:val="008014B0"/>
    <w:rsid w:val="00801E5E"/>
    <w:rsid w:val="00801E65"/>
    <w:rsid w:val="00802672"/>
    <w:rsid w:val="00804195"/>
    <w:rsid w:val="00804871"/>
    <w:rsid w:val="00804B46"/>
    <w:rsid w:val="008052D6"/>
    <w:rsid w:val="008057E4"/>
    <w:rsid w:val="00807340"/>
    <w:rsid w:val="008106CD"/>
    <w:rsid w:val="00810930"/>
    <w:rsid w:val="00810970"/>
    <w:rsid w:val="00812560"/>
    <w:rsid w:val="00812E05"/>
    <w:rsid w:val="008147B1"/>
    <w:rsid w:val="008148A9"/>
    <w:rsid w:val="00815DF8"/>
    <w:rsid w:val="00815F61"/>
    <w:rsid w:val="00816A59"/>
    <w:rsid w:val="00816C9C"/>
    <w:rsid w:val="00817EBF"/>
    <w:rsid w:val="0082026E"/>
    <w:rsid w:val="00821FCB"/>
    <w:rsid w:val="00823D02"/>
    <w:rsid w:val="0082413C"/>
    <w:rsid w:val="00824B43"/>
    <w:rsid w:val="00824CB7"/>
    <w:rsid w:val="008250E4"/>
    <w:rsid w:val="00825151"/>
    <w:rsid w:val="008257E1"/>
    <w:rsid w:val="0083002D"/>
    <w:rsid w:val="008300DD"/>
    <w:rsid w:val="0083180C"/>
    <w:rsid w:val="0083266F"/>
    <w:rsid w:val="00832891"/>
    <w:rsid w:val="00832FC7"/>
    <w:rsid w:val="008332DA"/>
    <w:rsid w:val="00833448"/>
    <w:rsid w:val="008337C6"/>
    <w:rsid w:val="00833C9F"/>
    <w:rsid w:val="00834531"/>
    <w:rsid w:val="008356C3"/>
    <w:rsid w:val="00835F31"/>
    <w:rsid w:val="008364BB"/>
    <w:rsid w:val="0083670E"/>
    <w:rsid w:val="00836B04"/>
    <w:rsid w:val="00836FFF"/>
    <w:rsid w:val="00837810"/>
    <w:rsid w:val="0083796E"/>
    <w:rsid w:val="0084054E"/>
    <w:rsid w:val="00840B61"/>
    <w:rsid w:val="0084138F"/>
    <w:rsid w:val="00841824"/>
    <w:rsid w:val="00842E83"/>
    <w:rsid w:val="008437F2"/>
    <w:rsid w:val="00843BA9"/>
    <w:rsid w:val="008447B7"/>
    <w:rsid w:val="00844F0D"/>
    <w:rsid w:val="008454DC"/>
    <w:rsid w:val="00846645"/>
    <w:rsid w:val="00846C6E"/>
    <w:rsid w:val="00850384"/>
    <w:rsid w:val="0085082B"/>
    <w:rsid w:val="00850E0A"/>
    <w:rsid w:val="008516E7"/>
    <w:rsid w:val="0085286B"/>
    <w:rsid w:val="00852CFE"/>
    <w:rsid w:val="008532ED"/>
    <w:rsid w:val="00853633"/>
    <w:rsid w:val="00853912"/>
    <w:rsid w:val="008543D9"/>
    <w:rsid w:val="00854464"/>
    <w:rsid w:val="00855C64"/>
    <w:rsid w:val="00856B04"/>
    <w:rsid w:val="00857173"/>
    <w:rsid w:val="0085753D"/>
    <w:rsid w:val="008602BC"/>
    <w:rsid w:val="00861603"/>
    <w:rsid w:val="008635DE"/>
    <w:rsid w:val="00863788"/>
    <w:rsid w:val="00865224"/>
    <w:rsid w:val="008655CC"/>
    <w:rsid w:val="0086593F"/>
    <w:rsid w:val="00866A04"/>
    <w:rsid w:val="00866AD7"/>
    <w:rsid w:val="00866C5D"/>
    <w:rsid w:val="00867AC7"/>
    <w:rsid w:val="00867D7D"/>
    <w:rsid w:val="00870965"/>
    <w:rsid w:val="008709F3"/>
    <w:rsid w:val="00870E39"/>
    <w:rsid w:val="00871A87"/>
    <w:rsid w:val="008720E1"/>
    <w:rsid w:val="008722FA"/>
    <w:rsid w:val="008726CB"/>
    <w:rsid w:val="00872C6C"/>
    <w:rsid w:val="00872E9F"/>
    <w:rsid w:val="0087398A"/>
    <w:rsid w:val="00873A50"/>
    <w:rsid w:val="00873CF2"/>
    <w:rsid w:val="00873FF1"/>
    <w:rsid w:val="008741C5"/>
    <w:rsid w:val="00874CDE"/>
    <w:rsid w:val="008753F3"/>
    <w:rsid w:val="0087550C"/>
    <w:rsid w:val="00875D69"/>
    <w:rsid w:val="00876744"/>
    <w:rsid w:val="0087683F"/>
    <w:rsid w:val="0088019D"/>
    <w:rsid w:val="00880825"/>
    <w:rsid w:val="0088122B"/>
    <w:rsid w:val="00881441"/>
    <w:rsid w:val="00881E2A"/>
    <w:rsid w:val="00881E82"/>
    <w:rsid w:val="008826B5"/>
    <w:rsid w:val="00884E66"/>
    <w:rsid w:val="00884F99"/>
    <w:rsid w:val="008851CF"/>
    <w:rsid w:val="00885258"/>
    <w:rsid w:val="00885400"/>
    <w:rsid w:val="00885C7D"/>
    <w:rsid w:val="00886D2E"/>
    <w:rsid w:val="00886DF7"/>
    <w:rsid w:val="00886F79"/>
    <w:rsid w:val="00887AFE"/>
    <w:rsid w:val="00890123"/>
    <w:rsid w:val="0089033C"/>
    <w:rsid w:val="00890483"/>
    <w:rsid w:val="008906BB"/>
    <w:rsid w:val="008923BB"/>
    <w:rsid w:val="00892B0C"/>
    <w:rsid w:val="00892FF2"/>
    <w:rsid w:val="00893252"/>
    <w:rsid w:val="00893E36"/>
    <w:rsid w:val="0089481D"/>
    <w:rsid w:val="0089646D"/>
    <w:rsid w:val="00896EA3"/>
    <w:rsid w:val="008976AC"/>
    <w:rsid w:val="008976E9"/>
    <w:rsid w:val="008A023B"/>
    <w:rsid w:val="008A0E67"/>
    <w:rsid w:val="008A0E68"/>
    <w:rsid w:val="008A12AB"/>
    <w:rsid w:val="008A18FB"/>
    <w:rsid w:val="008A2BC2"/>
    <w:rsid w:val="008A2BEB"/>
    <w:rsid w:val="008A4A9A"/>
    <w:rsid w:val="008A4FA0"/>
    <w:rsid w:val="008A6514"/>
    <w:rsid w:val="008A6FA3"/>
    <w:rsid w:val="008B01A6"/>
    <w:rsid w:val="008B0AC0"/>
    <w:rsid w:val="008B1602"/>
    <w:rsid w:val="008B2156"/>
    <w:rsid w:val="008B21E4"/>
    <w:rsid w:val="008B2AE0"/>
    <w:rsid w:val="008B36AB"/>
    <w:rsid w:val="008B39B3"/>
    <w:rsid w:val="008B39D4"/>
    <w:rsid w:val="008B3C17"/>
    <w:rsid w:val="008B497D"/>
    <w:rsid w:val="008B6278"/>
    <w:rsid w:val="008B65C5"/>
    <w:rsid w:val="008B6675"/>
    <w:rsid w:val="008B6C83"/>
    <w:rsid w:val="008B6E96"/>
    <w:rsid w:val="008B78C3"/>
    <w:rsid w:val="008C0628"/>
    <w:rsid w:val="008C19EA"/>
    <w:rsid w:val="008C1C43"/>
    <w:rsid w:val="008C1EF4"/>
    <w:rsid w:val="008C2ADC"/>
    <w:rsid w:val="008C31CB"/>
    <w:rsid w:val="008C35A2"/>
    <w:rsid w:val="008C3AB4"/>
    <w:rsid w:val="008C4119"/>
    <w:rsid w:val="008C4B31"/>
    <w:rsid w:val="008C55C0"/>
    <w:rsid w:val="008C56B9"/>
    <w:rsid w:val="008C644E"/>
    <w:rsid w:val="008C665F"/>
    <w:rsid w:val="008C6BB9"/>
    <w:rsid w:val="008C6C45"/>
    <w:rsid w:val="008C6EBD"/>
    <w:rsid w:val="008C721F"/>
    <w:rsid w:val="008D04DB"/>
    <w:rsid w:val="008D13A6"/>
    <w:rsid w:val="008D1681"/>
    <w:rsid w:val="008D1CE7"/>
    <w:rsid w:val="008D1D30"/>
    <w:rsid w:val="008D2474"/>
    <w:rsid w:val="008D24B7"/>
    <w:rsid w:val="008D332E"/>
    <w:rsid w:val="008D3CFE"/>
    <w:rsid w:val="008D4003"/>
    <w:rsid w:val="008D407E"/>
    <w:rsid w:val="008D4EFA"/>
    <w:rsid w:val="008D5704"/>
    <w:rsid w:val="008D637E"/>
    <w:rsid w:val="008D69A3"/>
    <w:rsid w:val="008D6A68"/>
    <w:rsid w:val="008D7A1E"/>
    <w:rsid w:val="008D7E12"/>
    <w:rsid w:val="008E0A54"/>
    <w:rsid w:val="008E0B3E"/>
    <w:rsid w:val="008E0E5A"/>
    <w:rsid w:val="008E15F6"/>
    <w:rsid w:val="008E1F5C"/>
    <w:rsid w:val="008E23DB"/>
    <w:rsid w:val="008E2580"/>
    <w:rsid w:val="008E28A1"/>
    <w:rsid w:val="008E4E3F"/>
    <w:rsid w:val="008E5898"/>
    <w:rsid w:val="008E69DD"/>
    <w:rsid w:val="008E732A"/>
    <w:rsid w:val="008E744C"/>
    <w:rsid w:val="008E76E1"/>
    <w:rsid w:val="008E770D"/>
    <w:rsid w:val="008E79A6"/>
    <w:rsid w:val="008F0277"/>
    <w:rsid w:val="008F0AD1"/>
    <w:rsid w:val="008F1EC6"/>
    <w:rsid w:val="008F2071"/>
    <w:rsid w:val="008F25E4"/>
    <w:rsid w:val="008F2A0D"/>
    <w:rsid w:val="008F32B0"/>
    <w:rsid w:val="008F3471"/>
    <w:rsid w:val="008F35BD"/>
    <w:rsid w:val="008F4093"/>
    <w:rsid w:val="008F4607"/>
    <w:rsid w:val="008F5EA9"/>
    <w:rsid w:val="008F675E"/>
    <w:rsid w:val="008F6B7D"/>
    <w:rsid w:val="008F6F83"/>
    <w:rsid w:val="008F78EC"/>
    <w:rsid w:val="00900988"/>
    <w:rsid w:val="00901141"/>
    <w:rsid w:val="009017E3"/>
    <w:rsid w:val="009019AD"/>
    <w:rsid w:val="00901D14"/>
    <w:rsid w:val="009020A3"/>
    <w:rsid w:val="00902632"/>
    <w:rsid w:val="009032B9"/>
    <w:rsid w:val="00904582"/>
    <w:rsid w:val="009069FF"/>
    <w:rsid w:val="00907970"/>
    <w:rsid w:val="00907E01"/>
    <w:rsid w:val="00907ECA"/>
    <w:rsid w:val="00911373"/>
    <w:rsid w:val="009116DD"/>
    <w:rsid w:val="00911DD2"/>
    <w:rsid w:val="009128C2"/>
    <w:rsid w:val="00913F63"/>
    <w:rsid w:val="009153AC"/>
    <w:rsid w:val="009156BD"/>
    <w:rsid w:val="0091588A"/>
    <w:rsid w:val="00915933"/>
    <w:rsid w:val="009168E3"/>
    <w:rsid w:val="00916F1B"/>
    <w:rsid w:val="00917D45"/>
    <w:rsid w:val="00921B67"/>
    <w:rsid w:val="00922440"/>
    <w:rsid w:val="00922914"/>
    <w:rsid w:val="0092657C"/>
    <w:rsid w:val="00926F2E"/>
    <w:rsid w:val="00926FCF"/>
    <w:rsid w:val="00927AB7"/>
    <w:rsid w:val="00931A72"/>
    <w:rsid w:val="00931C16"/>
    <w:rsid w:val="00931D22"/>
    <w:rsid w:val="00932021"/>
    <w:rsid w:val="0093389A"/>
    <w:rsid w:val="00934A3E"/>
    <w:rsid w:val="00935974"/>
    <w:rsid w:val="009363A1"/>
    <w:rsid w:val="009367DF"/>
    <w:rsid w:val="009368AD"/>
    <w:rsid w:val="0094083E"/>
    <w:rsid w:val="009408FE"/>
    <w:rsid w:val="00940B38"/>
    <w:rsid w:val="00941772"/>
    <w:rsid w:val="00941A3D"/>
    <w:rsid w:val="00941DEA"/>
    <w:rsid w:val="00941FF2"/>
    <w:rsid w:val="009424CB"/>
    <w:rsid w:val="00942C29"/>
    <w:rsid w:val="00942C59"/>
    <w:rsid w:val="00942EA3"/>
    <w:rsid w:val="009431A1"/>
    <w:rsid w:val="0094339C"/>
    <w:rsid w:val="00943499"/>
    <w:rsid w:val="009436FA"/>
    <w:rsid w:val="00944747"/>
    <w:rsid w:val="0094475D"/>
    <w:rsid w:val="009449FF"/>
    <w:rsid w:val="00944B1C"/>
    <w:rsid w:val="00945EB1"/>
    <w:rsid w:val="009469CF"/>
    <w:rsid w:val="009469E1"/>
    <w:rsid w:val="009500A5"/>
    <w:rsid w:val="00950572"/>
    <w:rsid w:val="009508FE"/>
    <w:rsid w:val="00951DD1"/>
    <w:rsid w:val="00951E3C"/>
    <w:rsid w:val="00951E46"/>
    <w:rsid w:val="00952ABB"/>
    <w:rsid w:val="00953670"/>
    <w:rsid w:val="0095560F"/>
    <w:rsid w:val="009564F0"/>
    <w:rsid w:val="00956E72"/>
    <w:rsid w:val="00957082"/>
    <w:rsid w:val="00957623"/>
    <w:rsid w:val="00960A16"/>
    <w:rsid w:val="009614BA"/>
    <w:rsid w:val="00961601"/>
    <w:rsid w:val="0096200F"/>
    <w:rsid w:val="00962BFD"/>
    <w:rsid w:val="00964434"/>
    <w:rsid w:val="00966F85"/>
    <w:rsid w:val="009672EA"/>
    <w:rsid w:val="00967410"/>
    <w:rsid w:val="009676DF"/>
    <w:rsid w:val="0096776E"/>
    <w:rsid w:val="00967820"/>
    <w:rsid w:val="00967D3C"/>
    <w:rsid w:val="009704F0"/>
    <w:rsid w:val="00970874"/>
    <w:rsid w:val="009708E3"/>
    <w:rsid w:val="009714B1"/>
    <w:rsid w:val="009720FA"/>
    <w:rsid w:val="00972558"/>
    <w:rsid w:val="009732A7"/>
    <w:rsid w:val="00973612"/>
    <w:rsid w:val="009736F6"/>
    <w:rsid w:val="00974514"/>
    <w:rsid w:val="009762CD"/>
    <w:rsid w:val="009769BA"/>
    <w:rsid w:val="00977573"/>
    <w:rsid w:val="0097768B"/>
    <w:rsid w:val="0097798E"/>
    <w:rsid w:val="00977A32"/>
    <w:rsid w:val="009802B6"/>
    <w:rsid w:val="009803B0"/>
    <w:rsid w:val="0098094E"/>
    <w:rsid w:val="00980EEB"/>
    <w:rsid w:val="009815BA"/>
    <w:rsid w:val="00981F1E"/>
    <w:rsid w:val="00981FC1"/>
    <w:rsid w:val="0098279B"/>
    <w:rsid w:val="009827FA"/>
    <w:rsid w:val="00982AB6"/>
    <w:rsid w:val="009834B0"/>
    <w:rsid w:val="00984795"/>
    <w:rsid w:val="00984FA5"/>
    <w:rsid w:val="0098567A"/>
    <w:rsid w:val="00987721"/>
    <w:rsid w:val="00990636"/>
    <w:rsid w:val="009928E7"/>
    <w:rsid w:val="00993534"/>
    <w:rsid w:val="0099397B"/>
    <w:rsid w:val="00994553"/>
    <w:rsid w:val="00994687"/>
    <w:rsid w:val="00994B26"/>
    <w:rsid w:val="00994F61"/>
    <w:rsid w:val="009951E5"/>
    <w:rsid w:val="0099520B"/>
    <w:rsid w:val="00995E52"/>
    <w:rsid w:val="00996615"/>
    <w:rsid w:val="009967F1"/>
    <w:rsid w:val="00996933"/>
    <w:rsid w:val="00996BF8"/>
    <w:rsid w:val="00996FC3"/>
    <w:rsid w:val="009A1078"/>
    <w:rsid w:val="009A27B1"/>
    <w:rsid w:val="009A336F"/>
    <w:rsid w:val="009A426D"/>
    <w:rsid w:val="009A4E61"/>
    <w:rsid w:val="009A6579"/>
    <w:rsid w:val="009A6BC5"/>
    <w:rsid w:val="009A6F8E"/>
    <w:rsid w:val="009B169D"/>
    <w:rsid w:val="009B2713"/>
    <w:rsid w:val="009B3E81"/>
    <w:rsid w:val="009B44D8"/>
    <w:rsid w:val="009B4D7B"/>
    <w:rsid w:val="009B5181"/>
    <w:rsid w:val="009B5533"/>
    <w:rsid w:val="009B566F"/>
    <w:rsid w:val="009B5739"/>
    <w:rsid w:val="009B6351"/>
    <w:rsid w:val="009B665A"/>
    <w:rsid w:val="009B6989"/>
    <w:rsid w:val="009C0C53"/>
    <w:rsid w:val="009C1141"/>
    <w:rsid w:val="009C1674"/>
    <w:rsid w:val="009C1CE2"/>
    <w:rsid w:val="009C2904"/>
    <w:rsid w:val="009C3AC7"/>
    <w:rsid w:val="009C3DA3"/>
    <w:rsid w:val="009C5131"/>
    <w:rsid w:val="009C575B"/>
    <w:rsid w:val="009C720C"/>
    <w:rsid w:val="009C7816"/>
    <w:rsid w:val="009D0009"/>
    <w:rsid w:val="009D107C"/>
    <w:rsid w:val="009D2803"/>
    <w:rsid w:val="009D462C"/>
    <w:rsid w:val="009D4BFE"/>
    <w:rsid w:val="009D585C"/>
    <w:rsid w:val="009D66D5"/>
    <w:rsid w:val="009D6DD0"/>
    <w:rsid w:val="009D716C"/>
    <w:rsid w:val="009D7681"/>
    <w:rsid w:val="009E0183"/>
    <w:rsid w:val="009E2DBC"/>
    <w:rsid w:val="009E4339"/>
    <w:rsid w:val="009E5301"/>
    <w:rsid w:val="009E6152"/>
    <w:rsid w:val="009E71BB"/>
    <w:rsid w:val="009E76EA"/>
    <w:rsid w:val="009E7D47"/>
    <w:rsid w:val="009E7DD5"/>
    <w:rsid w:val="009F0822"/>
    <w:rsid w:val="009F1585"/>
    <w:rsid w:val="009F164A"/>
    <w:rsid w:val="009F1CE5"/>
    <w:rsid w:val="009F24EE"/>
    <w:rsid w:val="009F2800"/>
    <w:rsid w:val="009F2BE2"/>
    <w:rsid w:val="009F3DB0"/>
    <w:rsid w:val="009F4212"/>
    <w:rsid w:val="009F42FE"/>
    <w:rsid w:val="009F4347"/>
    <w:rsid w:val="009F4E98"/>
    <w:rsid w:val="009F7F30"/>
    <w:rsid w:val="00A00D93"/>
    <w:rsid w:val="00A00DDD"/>
    <w:rsid w:val="00A0140D"/>
    <w:rsid w:val="00A01F00"/>
    <w:rsid w:val="00A03822"/>
    <w:rsid w:val="00A03BB7"/>
    <w:rsid w:val="00A04E9D"/>
    <w:rsid w:val="00A052C5"/>
    <w:rsid w:val="00A0537C"/>
    <w:rsid w:val="00A05EBD"/>
    <w:rsid w:val="00A05F11"/>
    <w:rsid w:val="00A06104"/>
    <w:rsid w:val="00A102D1"/>
    <w:rsid w:val="00A1087A"/>
    <w:rsid w:val="00A10A7F"/>
    <w:rsid w:val="00A10EFF"/>
    <w:rsid w:val="00A1234F"/>
    <w:rsid w:val="00A1401F"/>
    <w:rsid w:val="00A1428B"/>
    <w:rsid w:val="00A14B46"/>
    <w:rsid w:val="00A14D41"/>
    <w:rsid w:val="00A15713"/>
    <w:rsid w:val="00A15A0F"/>
    <w:rsid w:val="00A1684E"/>
    <w:rsid w:val="00A1710F"/>
    <w:rsid w:val="00A20633"/>
    <w:rsid w:val="00A20896"/>
    <w:rsid w:val="00A22A2B"/>
    <w:rsid w:val="00A22E41"/>
    <w:rsid w:val="00A235C6"/>
    <w:rsid w:val="00A23764"/>
    <w:rsid w:val="00A24523"/>
    <w:rsid w:val="00A2515A"/>
    <w:rsid w:val="00A25775"/>
    <w:rsid w:val="00A27180"/>
    <w:rsid w:val="00A271A1"/>
    <w:rsid w:val="00A2797A"/>
    <w:rsid w:val="00A302E4"/>
    <w:rsid w:val="00A311DF"/>
    <w:rsid w:val="00A330C9"/>
    <w:rsid w:val="00A337EF"/>
    <w:rsid w:val="00A352B3"/>
    <w:rsid w:val="00A35818"/>
    <w:rsid w:val="00A35914"/>
    <w:rsid w:val="00A36BCA"/>
    <w:rsid w:val="00A37129"/>
    <w:rsid w:val="00A401D5"/>
    <w:rsid w:val="00A40A77"/>
    <w:rsid w:val="00A41B75"/>
    <w:rsid w:val="00A43F0D"/>
    <w:rsid w:val="00A45020"/>
    <w:rsid w:val="00A458D9"/>
    <w:rsid w:val="00A462F2"/>
    <w:rsid w:val="00A4676B"/>
    <w:rsid w:val="00A475BD"/>
    <w:rsid w:val="00A47DAA"/>
    <w:rsid w:val="00A47EC0"/>
    <w:rsid w:val="00A50350"/>
    <w:rsid w:val="00A5078B"/>
    <w:rsid w:val="00A50FBC"/>
    <w:rsid w:val="00A51078"/>
    <w:rsid w:val="00A52C11"/>
    <w:rsid w:val="00A5340B"/>
    <w:rsid w:val="00A5370F"/>
    <w:rsid w:val="00A538B0"/>
    <w:rsid w:val="00A5425A"/>
    <w:rsid w:val="00A55DF0"/>
    <w:rsid w:val="00A5606E"/>
    <w:rsid w:val="00A565D1"/>
    <w:rsid w:val="00A569D8"/>
    <w:rsid w:val="00A56AFE"/>
    <w:rsid w:val="00A5754B"/>
    <w:rsid w:val="00A57A4E"/>
    <w:rsid w:val="00A60053"/>
    <w:rsid w:val="00A605BC"/>
    <w:rsid w:val="00A6082F"/>
    <w:rsid w:val="00A61560"/>
    <w:rsid w:val="00A618E2"/>
    <w:rsid w:val="00A61B90"/>
    <w:rsid w:val="00A61BB5"/>
    <w:rsid w:val="00A61D97"/>
    <w:rsid w:val="00A61FF8"/>
    <w:rsid w:val="00A62886"/>
    <w:rsid w:val="00A63C63"/>
    <w:rsid w:val="00A63E29"/>
    <w:rsid w:val="00A6428F"/>
    <w:rsid w:val="00A643B7"/>
    <w:rsid w:val="00A6514E"/>
    <w:rsid w:val="00A65AFA"/>
    <w:rsid w:val="00A6637A"/>
    <w:rsid w:val="00A66678"/>
    <w:rsid w:val="00A66898"/>
    <w:rsid w:val="00A66D63"/>
    <w:rsid w:val="00A67B0F"/>
    <w:rsid w:val="00A67C3A"/>
    <w:rsid w:val="00A67D0B"/>
    <w:rsid w:val="00A7347E"/>
    <w:rsid w:val="00A75280"/>
    <w:rsid w:val="00A76229"/>
    <w:rsid w:val="00A764A8"/>
    <w:rsid w:val="00A769A3"/>
    <w:rsid w:val="00A76AA6"/>
    <w:rsid w:val="00A776D0"/>
    <w:rsid w:val="00A839D3"/>
    <w:rsid w:val="00A83BF6"/>
    <w:rsid w:val="00A8408B"/>
    <w:rsid w:val="00A84DEC"/>
    <w:rsid w:val="00A851B1"/>
    <w:rsid w:val="00A856D2"/>
    <w:rsid w:val="00A85DB9"/>
    <w:rsid w:val="00A862B2"/>
    <w:rsid w:val="00A8630B"/>
    <w:rsid w:val="00A87166"/>
    <w:rsid w:val="00A87DC0"/>
    <w:rsid w:val="00A87F05"/>
    <w:rsid w:val="00A9049E"/>
    <w:rsid w:val="00A90C15"/>
    <w:rsid w:val="00A91AF9"/>
    <w:rsid w:val="00A91DE4"/>
    <w:rsid w:val="00A92459"/>
    <w:rsid w:val="00A9278E"/>
    <w:rsid w:val="00A93286"/>
    <w:rsid w:val="00A9352B"/>
    <w:rsid w:val="00A955C4"/>
    <w:rsid w:val="00A95964"/>
    <w:rsid w:val="00A96029"/>
    <w:rsid w:val="00A96891"/>
    <w:rsid w:val="00A96E5C"/>
    <w:rsid w:val="00AA03BC"/>
    <w:rsid w:val="00AA1779"/>
    <w:rsid w:val="00AA1B21"/>
    <w:rsid w:val="00AA1F46"/>
    <w:rsid w:val="00AA2C0B"/>
    <w:rsid w:val="00AA2E6F"/>
    <w:rsid w:val="00AA367C"/>
    <w:rsid w:val="00AA4541"/>
    <w:rsid w:val="00AA4AA7"/>
    <w:rsid w:val="00AA4DB4"/>
    <w:rsid w:val="00AA6070"/>
    <w:rsid w:val="00AA607F"/>
    <w:rsid w:val="00AA621C"/>
    <w:rsid w:val="00AA6544"/>
    <w:rsid w:val="00AA75E1"/>
    <w:rsid w:val="00AB06B0"/>
    <w:rsid w:val="00AB1406"/>
    <w:rsid w:val="00AB1670"/>
    <w:rsid w:val="00AB1F20"/>
    <w:rsid w:val="00AB24A7"/>
    <w:rsid w:val="00AB31D7"/>
    <w:rsid w:val="00AB3283"/>
    <w:rsid w:val="00AB3478"/>
    <w:rsid w:val="00AB3F37"/>
    <w:rsid w:val="00AB4777"/>
    <w:rsid w:val="00AB49E3"/>
    <w:rsid w:val="00AB4B79"/>
    <w:rsid w:val="00AB520A"/>
    <w:rsid w:val="00AB5982"/>
    <w:rsid w:val="00AB60F2"/>
    <w:rsid w:val="00AB63A0"/>
    <w:rsid w:val="00AB6F73"/>
    <w:rsid w:val="00AB7E03"/>
    <w:rsid w:val="00AC140F"/>
    <w:rsid w:val="00AC1703"/>
    <w:rsid w:val="00AC27F2"/>
    <w:rsid w:val="00AC30CD"/>
    <w:rsid w:val="00AC3640"/>
    <w:rsid w:val="00AC499F"/>
    <w:rsid w:val="00AC5822"/>
    <w:rsid w:val="00AC6470"/>
    <w:rsid w:val="00AC6E49"/>
    <w:rsid w:val="00AC6F2F"/>
    <w:rsid w:val="00AC7292"/>
    <w:rsid w:val="00AC7373"/>
    <w:rsid w:val="00AC798E"/>
    <w:rsid w:val="00AD04FF"/>
    <w:rsid w:val="00AD2C8A"/>
    <w:rsid w:val="00AD2F33"/>
    <w:rsid w:val="00AD3BBA"/>
    <w:rsid w:val="00AD3C48"/>
    <w:rsid w:val="00AD3C7D"/>
    <w:rsid w:val="00AD49A8"/>
    <w:rsid w:val="00AD5C7A"/>
    <w:rsid w:val="00AD610A"/>
    <w:rsid w:val="00AD729C"/>
    <w:rsid w:val="00AD7529"/>
    <w:rsid w:val="00AD76D3"/>
    <w:rsid w:val="00AD7803"/>
    <w:rsid w:val="00AD784E"/>
    <w:rsid w:val="00AD7895"/>
    <w:rsid w:val="00AE19CE"/>
    <w:rsid w:val="00AE1B13"/>
    <w:rsid w:val="00AE1DAE"/>
    <w:rsid w:val="00AE23A6"/>
    <w:rsid w:val="00AE2465"/>
    <w:rsid w:val="00AE27DF"/>
    <w:rsid w:val="00AE2BE6"/>
    <w:rsid w:val="00AE3808"/>
    <w:rsid w:val="00AE3869"/>
    <w:rsid w:val="00AE38BE"/>
    <w:rsid w:val="00AE3938"/>
    <w:rsid w:val="00AE6540"/>
    <w:rsid w:val="00AE6BA3"/>
    <w:rsid w:val="00AF06CF"/>
    <w:rsid w:val="00AF08C5"/>
    <w:rsid w:val="00AF1340"/>
    <w:rsid w:val="00AF2920"/>
    <w:rsid w:val="00AF3411"/>
    <w:rsid w:val="00AF3E05"/>
    <w:rsid w:val="00AF46F7"/>
    <w:rsid w:val="00AF481D"/>
    <w:rsid w:val="00AF496A"/>
    <w:rsid w:val="00AF50DC"/>
    <w:rsid w:val="00AF5758"/>
    <w:rsid w:val="00AF5DDB"/>
    <w:rsid w:val="00AF5DE9"/>
    <w:rsid w:val="00AF6655"/>
    <w:rsid w:val="00AF73EE"/>
    <w:rsid w:val="00AF7554"/>
    <w:rsid w:val="00B00494"/>
    <w:rsid w:val="00B01D7C"/>
    <w:rsid w:val="00B02665"/>
    <w:rsid w:val="00B1013A"/>
    <w:rsid w:val="00B12392"/>
    <w:rsid w:val="00B1275E"/>
    <w:rsid w:val="00B12F7F"/>
    <w:rsid w:val="00B160DF"/>
    <w:rsid w:val="00B16665"/>
    <w:rsid w:val="00B167D8"/>
    <w:rsid w:val="00B2007F"/>
    <w:rsid w:val="00B21EF2"/>
    <w:rsid w:val="00B222C3"/>
    <w:rsid w:val="00B22383"/>
    <w:rsid w:val="00B2298F"/>
    <w:rsid w:val="00B23CAD"/>
    <w:rsid w:val="00B244D3"/>
    <w:rsid w:val="00B249C2"/>
    <w:rsid w:val="00B252E0"/>
    <w:rsid w:val="00B259FF"/>
    <w:rsid w:val="00B26B72"/>
    <w:rsid w:val="00B26BE8"/>
    <w:rsid w:val="00B270E1"/>
    <w:rsid w:val="00B275B1"/>
    <w:rsid w:val="00B27649"/>
    <w:rsid w:val="00B27B69"/>
    <w:rsid w:val="00B27E25"/>
    <w:rsid w:val="00B3056C"/>
    <w:rsid w:val="00B30EC1"/>
    <w:rsid w:val="00B31AD4"/>
    <w:rsid w:val="00B33BC3"/>
    <w:rsid w:val="00B35104"/>
    <w:rsid w:val="00B35468"/>
    <w:rsid w:val="00B35BF6"/>
    <w:rsid w:val="00B362A8"/>
    <w:rsid w:val="00B3638F"/>
    <w:rsid w:val="00B36796"/>
    <w:rsid w:val="00B36959"/>
    <w:rsid w:val="00B36BEF"/>
    <w:rsid w:val="00B3731A"/>
    <w:rsid w:val="00B37867"/>
    <w:rsid w:val="00B4034D"/>
    <w:rsid w:val="00B407A0"/>
    <w:rsid w:val="00B434C9"/>
    <w:rsid w:val="00B442B5"/>
    <w:rsid w:val="00B454B3"/>
    <w:rsid w:val="00B45C1C"/>
    <w:rsid w:val="00B4636C"/>
    <w:rsid w:val="00B467A7"/>
    <w:rsid w:val="00B47C77"/>
    <w:rsid w:val="00B47FD2"/>
    <w:rsid w:val="00B50E63"/>
    <w:rsid w:val="00B5256D"/>
    <w:rsid w:val="00B52FA5"/>
    <w:rsid w:val="00B53AB9"/>
    <w:rsid w:val="00B53D47"/>
    <w:rsid w:val="00B5412D"/>
    <w:rsid w:val="00B541F3"/>
    <w:rsid w:val="00B5425D"/>
    <w:rsid w:val="00B54E42"/>
    <w:rsid w:val="00B55B9C"/>
    <w:rsid w:val="00B560B9"/>
    <w:rsid w:val="00B561A5"/>
    <w:rsid w:val="00B56A7B"/>
    <w:rsid w:val="00B5739B"/>
    <w:rsid w:val="00B57609"/>
    <w:rsid w:val="00B57861"/>
    <w:rsid w:val="00B6045F"/>
    <w:rsid w:val="00B61D1B"/>
    <w:rsid w:val="00B61D6B"/>
    <w:rsid w:val="00B628C9"/>
    <w:rsid w:val="00B62AFC"/>
    <w:rsid w:val="00B62BF0"/>
    <w:rsid w:val="00B62F78"/>
    <w:rsid w:val="00B65C45"/>
    <w:rsid w:val="00B6657F"/>
    <w:rsid w:val="00B66880"/>
    <w:rsid w:val="00B66B5F"/>
    <w:rsid w:val="00B670AD"/>
    <w:rsid w:val="00B67476"/>
    <w:rsid w:val="00B67D83"/>
    <w:rsid w:val="00B701A8"/>
    <w:rsid w:val="00B702B8"/>
    <w:rsid w:val="00B70D32"/>
    <w:rsid w:val="00B71010"/>
    <w:rsid w:val="00B71377"/>
    <w:rsid w:val="00B71605"/>
    <w:rsid w:val="00B71A37"/>
    <w:rsid w:val="00B71C50"/>
    <w:rsid w:val="00B73045"/>
    <w:rsid w:val="00B7346E"/>
    <w:rsid w:val="00B7384F"/>
    <w:rsid w:val="00B73B03"/>
    <w:rsid w:val="00B73F56"/>
    <w:rsid w:val="00B74205"/>
    <w:rsid w:val="00B74C2A"/>
    <w:rsid w:val="00B74C45"/>
    <w:rsid w:val="00B74D29"/>
    <w:rsid w:val="00B75162"/>
    <w:rsid w:val="00B76270"/>
    <w:rsid w:val="00B76F5B"/>
    <w:rsid w:val="00B806C1"/>
    <w:rsid w:val="00B8075B"/>
    <w:rsid w:val="00B80FB5"/>
    <w:rsid w:val="00B80FDC"/>
    <w:rsid w:val="00B81E0C"/>
    <w:rsid w:val="00B82243"/>
    <w:rsid w:val="00B823ED"/>
    <w:rsid w:val="00B828F9"/>
    <w:rsid w:val="00B851AF"/>
    <w:rsid w:val="00B8547E"/>
    <w:rsid w:val="00B862A3"/>
    <w:rsid w:val="00B865F8"/>
    <w:rsid w:val="00B867A6"/>
    <w:rsid w:val="00B86B75"/>
    <w:rsid w:val="00B870AC"/>
    <w:rsid w:val="00B87C43"/>
    <w:rsid w:val="00B900BB"/>
    <w:rsid w:val="00B901B0"/>
    <w:rsid w:val="00B909E9"/>
    <w:rsid w:val="00B91228"/>
    <w:rsid w:val="00B91833"/>
    <w:rsid w:val="00B93268"/>
    <w:rsid w:val="00B93335"/>
    <w:rsid w:val="00B935D0"/>
    <w:rsid w:val="00B93CD6"/>
    <w:rsid w:val="00B946F0"/>
    <w:rsid w:val="00B9497D"/>
    <w:rsid w:val="00B94B10"/>
    <w:rsid w:val="00B955C2"/>
    <w:rsid w:val="00B95BE9"/>
    <w:rsid w:val="00B97037"/>
    <w:rsid w:val="00B97109"/>
    <w:rsid w:val="00B97A34"/>
    <w:rsid w:val="00BA0A11"/>
    <w:rsid w:val="00BA1081"/>
    <w:rsid w:val="00BA266A"/>
    <w:rsid w:val="00BA352C"/>
    <w:rsid w:val="00BA3CED"/>
    <w:rsid w:val="00BA4411"/>
    <w:rsid w:val="00BA44E2"/>
    <w:rsid w:val="00BA46AB"/>
    <w:rsid w:val="00BA56E9"/>
    <w:rsid w:val="00BA59D4"/>
    <w:rsid w:val="00BA5DF9"/>
    <w:rsid w:val="00BA772B"/>
    <w:rsid w:val="00BA77E4"/>
    <w:rsid w:val="00BA7CB8"/>
    <w:rsid w:val="00BA7FCC"/>
    <w:rsid w:val="00BB0656"/>
    <w:rsid w:val="00BB0B0C"/>
    <w:rsid w:val="00BB1F6D"/>
    <w:rsid w:val="00BB4DC9"/>
    <w:rsid w:val="00BB6021"/>
    <w:rsid w:val="00BB624F"/>
    <w:rsid w:val="00BB68D2"/>
    <w:rsid w:val="00BB7329"/>
    <w:rsid w:val="00BB777C"/>
    <w:rsid w:val="00BC1478"/>
    <w:rsid w:val="00BC27EF"/>
    <w:rsid w:val="00BC344E"/>
    <w:rsid w:val="00BC3C24"/>
    <w:rsid w:val="00BC482B"/>
    <w:rsid w:val="00BC48F1"/>
    <w:rsid w:val="00BC4D17"/>
    <w:rsid w:val="00BC4D51"/>
    <w:rsid w:val="00BC555B"/>
    <w:rsid w:val="00BC5899"/>
    <w:rsid w:val="00BC5ABC"/>
    <w:rsid w:val="00BC5C85"/>
    <w:rsid w:val="00BC5D87"/>
    <w:rsid w:val="00BC6E96"/>
    <w:rsid w:val="00BC7565"/>
    <w:rsid w:val="00BC7E4D"/>
    <w:rsid w:val="00BD008B"/>
    <w:rsid w:val="00BD0536"/>
    <w:rsid w:val="00BD0E8A"/>
    <w:rsid w:val="00BD1075"/>
    <w:rsid w:val="00BD10C2"/>
    <w:rsid w:val="00BD28DE"/>
    <w:rsid w:val="00BD2AC8"/>
    <w:rsid w:val="00BD37EF"/>
    <w:rsid w:val="00BD485A"/>
    <w:rsid w:val="00BD4D93"/>
    <w:rsid w:val="00BD4EA4"/>
    <w:rsid w:val="00BD5874"/>
    <w:rsid w:val="00BD5EF1"/>
    <w:rsid w:val="00BD6370"/>
    <w:rsid w:val="00BD7469"/>
    <w:rsid w:val="00BD767B"/>
    <w:rsid w:val="00BD7A8A"/>
    <w:rsid w:val="00BE082D"/>
    <w:rsid w:val="00BE1060"/>
    <w:rsid w:val="00BE1DFB"/>
    <w:rsid w:val="00BE3539"/>
    <w:rsid w:val="00BE3A63"/>
    <w:rsid w:val="00BE52C6"/>
    <w:rsid w:val="00BE5377"/>
    <w:rsid w:val="00BE5440"/>
    <w:rsid w:val="00BE586A"/>
    <w:rsid w:val="00BE6106"/>
    <w:rsid w:val="00BE64D3"/>
    <w:rsid w:val="00BE6545"/>
    <w:rsid w:val="00BE68A1"/>
    <w:rsid w:val="00BE7534"/>
    <w:rsid w:val="00BE7FDF"/>
    <w:rsid w:val="00BF0A17"/>
    <w:rsid w:val="00BF22F2"/>
    <w:rsid w:val="00BF27CA"/>
    <w:rsid w:val="00BF3BEA"/>
    <w:rsid w:val="00BF3D77"/>
    <w:rsid w:val="00BF5D98"/>
    <w:rsid w:val="00BF6657"/>
    <w:rsid w:val="00BF69B6"/>
    <w:rsid w:val="00BF6EC6"/>
    <w:rsid w:val="00C0091D"/>
    <w:rsid w:val="00C0106C"/>
    <w:rsid w:val="00C0134C"/>
    <w:rsid w:val="00C02D3B"/>
    <w:rsid w:val="00C0384A"/>
    <w:rsid w:val="00C03FD8"/>
    <w:rsid w:val="00C0476F"/>
    <w:rsid w:val="00C04BBB"/>
    <w:rsid w:val="00C0566E"/>
    <w:rsid w:val="00C05F60"/>
    <w:rsid w:val="00C06568"/>
    <w:rsid w:val="00C0739D"/>
    <w:rsid w:val="00C07615"/>
    <w:rsid w:val="00C077A8"/>
    <w:rsid w:val="00C10E05"/>
    <w:rsid w:val="00C11553"/>
    <w:rsid w:val="00C12A64"/>
    <w:rsid w:val="00C13967"/>
    <w:rsid w:val="00C14957"/>
    <w:rsid w:val="00C154C6"/>
    <w:rsid w:val="00C15B89"/>
    <w:rsid w:val="00C15CD2"/>
    <w:rsid w:val="00C16856"/>
    <w:rsid w:val="00C16987"/>
    <w:rsid w:val="00C16FE1"/>
    <w:rsid w:val="00C1782C"/>
    <w:rsid w:val="00C20862"/>
    <w:rsid w:val="00C2233B"/>
    <w:rsid w:val="00C22D3D"/>
    <w:rsid w:val="00C244D9"/>
    <w:rsid w:val="00C25AD6"/>
    <w:rsid w:val="00C27222"/>
    <w:rsid w:val="00C27602"/>
    <w:rsid w:val="00C306F9"/>
    <w:rsid w:val="00C30A06"/>
    <w:rsid w:val="00C312EB"/>
    <w:rsid w:val="00C3291A"/>
    <w:rsid w:val="00C32C7D"/>
    <w:rsid w:val="00C340A5"/>
    <w:rsid w:val="00C36783"/>
    <w:rsid w:val="00C36CF1"/>
    <w:rsid w:val="00C37AAF"/>
    <w:rsid w:val="00C40E6A"/>
    <w:rsid w:val="00C4126D"/>
    <w:rsid w:val="00C418AB"/>
    <w:rsid w:val="00C41DDB"/>
    <w:rsid w:val="00C42212"/>
    <w:rsid w:val="00C422C2"/>
    <w:rsid w:val="00C43519"/>
    <w:rsid w:val="00C43653"/>
    <w:rsid w:val="00C43CFF"/>
    <w:rsid w:val="00C43EE9"/>
    <w:rsid w:val="00C4481F"/>
    <w:rsid w:val="00C449D5"/>
    <w:rsid w:val="00C455AF"/>
    <w:rsid w:val="00C465F3"/>
    <w:rsid w:val="00C473E4"/>
    <w:rsid w:val="00C47757"/>
    <w:rsid w:val="00C47856"/>
    <w:rsid w:val="00C501FF"/>
    <w:rsid w:val="00C50AF0"/>
    <w:rsid w:val="00C50FCA"/>
    <w:rsid w:val="00C511EC"/>
    <w:rsid w:val="00C514CF"/>
    <w:rsid w:val="00C51594"/>
    <w:rsid w:val="00C521A8"/>
    <w:rsid w:val="00C5243B"/>
    <w:rsid w:val="00C556AA"/>
    <w:rsid w:val="00C5661B"/>
    <w:rsid w:val="00C56EA5"/>
    <w:rsid w:val="00C571C1"/>
    <w:rsid w:val="00C57BE8"/>
    <w:rsid w:val="00C57D54"/>
    <w:rsid w:val="00C60065"/>
    <w:rsid w:val="00C602B3"/>
    <w:rsid w:val="00C611EF"/>
    <w:rsid w:val="00C61585"/>
    <w:rsid w:val="00C61620"/>
    <w:rsid w:val="00C61B54"/>
    <w:rsid w:val="00C61BE9"/>
    <w:rsid w:val="00C61CB4"/>
    <w:rsid w:val="00C6356D"/>
    <w:rsid w:val="00C63A1C"/>
    <w:rsid w:val="00C648E6"/>
    <w:rsid w:val="00C658A5"/>
    <w:rsid w:val="00C65B63"/>
    <w:rsid w:val="00C668B9"/>
    <w:rsid w:val="00C66FF0"/>
    <w:rsid w:val="00C67C81"/>
    <w:rsid w:val="00C67F79"/>
    <w:rsid w:val="00C7005A"/>
    <w:rsid w:val="00C7019D"/>
    <w:rsid w:val="00C70B54"/>
    <w:rsid w:val="00C717F9"/>
    <w:rsid w:val="00C71B3D"/>
    <w:rsid w:val="00C7236A"/>
    <w:rsid w:val="00C72E36"/>
    <w:rsid w:val="00C73032"/>
    <w:rsid w:val="00C7353D"/>
    <w:rsid w:val="00C73A47"/>
    <w:rsid w:val="00C73C4A"/>
    <w:rsid w:val="00C73CEB"/>
    <w:rsid w:val="00C74078"/>
    <w:rsid w:val="00C7493B"/>
    <w:rsid w:val="00C752E2"/>
    <w:rsid w:val="00C75989"/>
    <w:rsid w:val="00C75F34"/>
    <w:rsid w:val="00C76C3F"/>
    <w:rsid w:val="00C7723D"/>
    <w:rsid w:val="00C77C04"/>
    <w:rsid w:val="00C804E2"/>
    <w:rsid w:val="00C808BF"/>
    <w:rsid w:val="00C80B5E"/>
    <w:rsid w:val="00C81BE3"/>
    <w:rsid w:val="00C823DA"/>
    <w:rsid w:val="00C829BA"/>
    <w:rsid w:val="00C8334D"/>
    <w:rsid w:val="00C83826"/>
    <w:rsid w:val="00C83AB5"/>
    <w:rsid w:val="00C84A9D"/>
    <w:rsid w:val="00C85602"/>
    <w:rsid w:val="00C85D40"/>
    <w:rsid w:val="00C908CB"/>
    <w:rsid w:val="00C913E8"/>
    <w:rsid w:val="00C916B2"/>
    <w:rsid w:val="00C91B5C"/>
    <w:rsid w:val="00C92104"/>
    <w:rsid w:val="00C92B4A"/>
    <w:rsid w:val="00C92C8A"/>
    <w:rsid w:val="00C9311C"/>
    <w:rsid w:val="00C93A01"/>
    <w:rsid w:val="00C93A27"/>
    <w:rsid w:val="00C94064"/>
    <w:rsid w:val="00C944F9"/>
    <w:rsid w:val="00C945EF"/>
    <w:rsid w:val="00C946A6"/>
    <w:rsid w:val="00C94B2A"/>
    <w:rsid w:val="00C94F8F"/>
    <w:rsid w:val="00C951FB"/>
    <w:rsid w:val="00C954B7"/>
    <w:rsid w:val="00C95DCA"/>
    <w:rsid w:val="00C96CB1"/>
    <w:rsid w:val="00C97194"/>
    <w:rsid w:val="00CA171A"/>
    <w:rsid w:val="00CA1B1E"/>
    <w:rsid w:val="00CA1D8C"/>
    <w:rsid w:val="00CA1FB8"/>
    <w:rsid w:val="00CA232B"/>
    <w:rsid w:val="00CA281F"/>
    <w:rsid w:val="00CA408C"/>
    <w:rsid w:val="00CA4354"/>
    <w:rsid w:val="00CA474B"/>
    <w:rsid w:val="00CA55EA"/>
    <w:rsid w:val="00CA5CA3"/>
    <w:rsid w:val="00CA710F"/>
    <w:rsid w:val="00CA72F3"/>
    <w:rsid w:val="00CB17F2"/>
    <w:rsid w:val="00CB201B"/>
    <w:rsid w:val="00CB29C1"/>
    <w:rsid w:val="00CB3393"/>
    <w:rsid w:val="00CB379E"/>
    <w:rsid w:val="00CB385B"/>
    <w:rsid w:val="00CB439A"/>
    <w:rsid w:val="00CB5238"/>
    <w:rsid w:val="00CB5381"/>
    <w:rsid w:val="00CB7794"/>
    <w:rsid w:val="00CB7E83"/>
    <w:rsid w:val="00CC03DA"/>
    <w:rsid w:val="00CC0864"/>
    <w:rsid w:val="00CC0EFB"/>
    <w:rsid w:val="00CC18A9"/>
    <w:rsid w:val="00CC18FB"/>
    <w:rsid w:val="00CC1908"/>
    <w:rsid w:val="00CC292B"/>
    <w:rsid w:val="00CC4974"/>
    <w:rsid w:val="00CC53F9"/>
    <w:rsid w:val="00CC5694"/>
    <w:rsid w:val="00CC5C8A"/>
    <w:rsid w:val="00CC60B4"/>
    <w:rsid w:val="00CC63A9"/>
    <w:rsid w:val="00CC7EA6"/>
    <w:rsid w:val="00CD04B3"/>
    <w:rsid w:val="00CD0BFF"/>
    <w:rsid w:val="00CD0CC3"/>
    <w:rsid w:val="00CD1259"/>
    <w:rsid w:val="00CD151D"/>
    <w:rsid w:val="00CD26AC"/>
    <w:rsid w:val="00CD27AD"/>
    <w:rsid w:val="00CD2A5F"/>
    <w:rsid w:val="00CD3948"/>
    <w:rsid w:val="00CD39CA"/>
    <w:rsid w:val="00CD485F"/>
    <w:rsid w:val="00CD58B0"/>
    <w:rsid w:val="00CD7314"/>
    <w:rsid w:val="00CD7D8E"/>
    <w:rsid w:val="00CE0279"/>
    <w:rsid w:val="00CE0F67"/>
    <w:rsid w:val="00CE117C"/>
    <w:rsid w:val="00CE3308"/>
    <w:rsid w:val="00CE4DE6"/>
    <w:rsid w:val="00CE4FA7"/>
    <w:rsid w:val="00CE53AD"/>
    <w:rsid w:val="00CE627E"/>
    <w:rsid w:val="00CE63D5"/>
    <w:rsid w:val="00CE7178"/>
    <w:rsid w:val="00CF0270"/>
    <w:rsid w:val="00CF045C"/>
    <w:rsid w:val="00CF04EE"/>
    <w:rsid w:val="00CF0AF3"/>
    <w:rsid w:val="00CF0E8D"/>
    <w:rsid w:val="00CF1122"/>
    <w:rsid w:val="00CF1635"/>
    <w:rsid w:val="00CF1AB5"/>
    <w:rsid w:val="00CF1BB2"/>
    <w:rsid w:val="00CF3034"/>
    <w:rsid w:val="00CF321D"/>
    <w:rsid w:val="00CF336A"/>
    <w:rsid w:val="00CF369B"/>
    <w:rsid w:val="00CF3BE4"/>
    <w:rsid w:val="00CF4869"/>
    <w:rsid w:val="00CF51E6"/>
    <w:rsid w:val="00CF7616"/>
    <w:rsid w:val="00CF7B77"/>
    <w:rsid w:val="00D0025C"/>
    <w:rsid w:val="00D00FE7"/>
    <w:rsid w:val="00D01397"/>
    <w:rsid w:val="00D02395"/>
    <w:rsid w:val="00D0364D"/>
    <w:rsid w:val="00D03B71"/>
    <w:rsid w:val="00D043F0"/>
    <w:rsid w:val="00D04FAA"/>
    <w:rsid w:val="00D05A31"/>
    <w:rsid w:val="00D061C3"/>
    <w:rsid w:val="00D062CA"/>
    <w:rsid w:val="00D067B7"/>
    <w:rsid w:val="00D10551"/>
    <w:rsid w:val="00D117A9"/>
    <w:rsid w:val="00D125E3"/>
    <w:rsid w:val="00D1397D"/>
    <w:rsid w:val="00D15562"/>
    <w:rsid w:val="00D16ADD"/>
    <w:rsid w:val="00D178CA"/>
    <w:rsid w:val="00D17DF6"/>
    <w:rsid w:val="00D17F92"/>
    <w:rsid w:val="00D22372"/>
    <w:rsid w:val="00D2262C"/>
    <w:rsid w:val="00D22F8F"/>
    <w:rsid w:val="00D23519"/>
    <w:rsid w:val="00D2369D"/>
    <w:rsid w:val="00D23D6A"/>
    <w:rsid w:val="00D25C27"/>
    <w:rsid w:val="00D25CFD"/>
    <w:rsid w:val="00D25E9B"/>
    <w:rsid w:val="00D25ECC"/>
    <w:rsid w:val="00D276D1"/>
    <w:rsid w:val="00D30DA9"/>
    <w:rsid w:val="00D32C78"/>
    <w:rsid w:val="00D3339A"/>
    <w:rsid w:val="00D33696"/>
    <w:rsid w:val="00D33C4E"/>
    <w:rsid w:val="00D33CE9"/>
    <w:rsid w:val="00D34460"/>
    <w:rsid w:val="00D3484E"/>
    <w:rsid w:val="00D3577A"/>
    <w:rsid w:val="00D35929"/>
    <w:rsid w:val="00D35B16"/>
    <w:rsid w:val="00D367BD"/>
    <w:rsid w:val="00D36AF1"/>
    <w:rsid w:val="00D41234"/>
    <w:rsid w:val="00D4131E"/>
    <w:rsid w:val="00D41748"/>
    <w:rsid w:val="00D41CB2"/>
    <w:rsid w:val="00D43561"/>
    <w:rsid w:val="00D440C1"/>
    <w:rsid w:val="00D4482A"/>
    <w:rsid w:val="00D45A2D"/>
    <w:rsid w:val="00D45E02"/>
    <w:rsid w:val="00D47254"/>
    <w:rsid w:val="00D500FB"/>
    <w:rsid w:val="00D5010A"/>
    <w:rsid w:val="00D52A32"/>
    <w:rsid w:val="00D5329A"/>
    <w:rsid w:val="00D535AF"/>
    <w:rsid w:val="00D54D54"/>
    <w:rsid w:val="00D5535E"/>
    <w:rsid w:val="00D553E6"/>
    <w:rsid w:val="00D56B69"/>
    <w:rsid w:val="00D56CB1"/>
    <w:rsid w:val="00D56D85"/>
    <w:rsid w:val="00D573EE"/>
    <w:rsid w:val="00D573FB"/>
    <w:rsid w:val="00D577BF"/>
    <w:rsid w:val="00D618BB"/>
    <w:rsid w:val="00D62FD5"/>
    <w:rsid w:val="00D6302F"/>
    <w:rsid w:val="00D630F7"/>
    <w:rsid w:val="00D63127"/>
    <w:rsid w:val="00D63CC0"/>
    <w:rsid w:val="00D6405F"/>
    <w:rsid w:val="00D64700"/>
    <w:rsid w:val="00D653FF"/>
    <w:rsid w:val="00D6540C"/>
    <w:rsid w:val="00D65F14"/>
    <w:rsid w:val="00D677E1"/>
    <w:rsid w:val="00D67D03"/>
    <w:rsid w:val="00D7013D"/>
    <w:rsid w:val="00D70ED5"/>
    <w:rsid w:val="00D71325"/>
    <w:rsid w:val="00D719FA"/>
    <w:rsid w:val="00D72399"/>
    <w:rsid w:val="00D72B5F"/>
    <w:rsid w:val="00D7404E"/>
    <w:rsid w:val="00D742CB"/>
    <w:rsid w:val="00D749FB"/>
    <w:rsid w:val="00D74B61"/>
    <w:rsid w:val="00D75E9E"/>
    <w:rsid w:val="00D762EF"/>
    <w:rsid w:val="00D7630D"/>
    <w:rsid w:val="00D7640F"/>
    <w:rsid w:val="00D76528"/>
    <w:rsid w:val="00D77006"/>
    <w:rsid w:val="00D771F2"/>
    <w:rsid w:val="00D81242"/>
    <w:rsid w:val="00D81BA1"/>
    <w:rsid w:val="00D82401"/>
    <w:rsid w:val="00D83E2F"/>
    <w:rsid w:val="00D847D7"/>
    <w:rsid w:val="00D85080"/>
    <w:rsid w:val="00D85087"/>
    <w:rsid w:val="00D85695"/>
    <w:rsid w:val="00D86F76"/>
    <w:rsid w:val="00D870C9"/>
    <w:rsid w:val="00D87634"/>
    <w:rsid w:val="00D87FC8"/>
    <w:rsid w:val="00D9116A"/>
    <w:rsid w:val="00D9163C"/>
    <w:rsid w:val="00D916D1"/>
    <w:rsid w:val="00D91E68"/>
    <w:rsid w:val="00D921AF"/>
    <w:rsid w:val="00D92B9B"/>
    <w:rsid w:val="00D92E77"/>
    <w:rsid w:val="00D930ED"/>
    <w:rsid w:val="00D93AF0"/>
    <w:rsid w:val="00D944B6"/>
    <w:rsid w:val="00D94C2F"/>
    <w:rsid w:val="00D95E7B"/>
    <w:rsid w:val="00D96A70"/>
    <w:rsid w:val="00DA163C"/>
    <w:rsid w:val="00DA1A63"/>
    <w:rsid w:val="00DA21F1"/>
    <w:rsid w:val="00DA24A8"/>
    <w:rsid w:val="00DA277B"/>
    <w:rsid w:val="00DA405B"/>
    <w:rsid w:val="00DA59EC"/>
    <w:rsid w:val="00DB0016"/>
    <w:rsid w:val="00DB04A7"/>
    <w:rsid w:val="00DB0836"/>
    <w:rsid w:val="00DB0B91"/>
    <w:rsid w:val="00DB16B2"/>
    <w:rsid w:val="00DB1D75"/>
    <w:rsid w:val="00DB3A23"/>
    <w:rsid w:val="00DB413E"/>
    <w:rsid w:val="00DB42B6"/>
    <w:rsid w:val="00DB4555"/>
    <w:rsid w:val="00DB4B62"/>
    <w:rsid w:val="00DB4E46"/>
    <w:rsid w:val="00DB565D"/>
    <w:rsid w:val="00DB5DE1"/>
    <w:rsid w:val="00DB5F7C"/>
    <w:rsid w:val="00DC01F0"/>
    <w:rsid w:val="00DC256F"/>
    <w:rsid w:val="00DC309D"/>
    <w:rsid w:val="00DC4345"/>
    <w:rsid w:val="00DC46AB"/>
    <w:rsid w:val="00DC4FC9"/>
    <w:rsid w:val="00DC6C92"/>
    <w:rsid w:val="00DC6E75"/>
    <w:rsid w:val="00DD0C82"/>
    <w:rsid w:val="00DD18D6"/>
    <w:rsid w:val="00DD1E24"/>
    <w:rsid w:val="00DD2BC1"/>
    <w:rsid w:val="00DD37F2"/>
    <w:rsid w:val="00DD387B"/>
    <w:rsid w:val="00DD4332"/>
    <w:rsid w:val="00DD55A5"/>
    <w:rsid w:val="00DD5BC1"/>
    <w:rsid w:val="00DD6738"/>
    <w:rsid w:val="00DD73E5"/>
    <w:rsid w:val="00DD74F8"/>
    <w:rsid w:val="00DE00E6"/>
    <w:rsid w:val="00DE1DE5"/>
    <w:rsid w:val="00DE3959"/>
    <w:rsid w:val="00DE3989"/>
    <w:rsid w:val="00DE4C42"/>
    <w:rsid w:val="00DE539D"/>
    <w:rsid w:val="00DE5B09"/>
    <w:rsid w:val="00DE5D95"/>
    <w:rsid w:val="00DE5DCF"/>
    <w:rsid w:val="00DE60F3"/>
    <w:rsid w:val="00DE68F4"/>
    <w:rsid w:val="00DE71A7"/>
    <w:rsid w:val="00DE76D6"/>
    <w:rsid w:val="00DF0671"/>
    <w:rsid w:val="00DF0D0D"/>
    <w:rsid w:val="00DF12E9"/>
    <w:rsid w:val="00DF152A"/>
    <w:rsid w:val="00DF1919"/>
    <w:rsid w:val="00DF19FE"/>
    <w:rsid w:val="00DF23B5"/>
    <w:rsid w:val="00DF2803"/>
    <w:rsid w:val="00DF2D19"/>
    <w:rsid w:val="00DF3886"/>
    <w:rsid w:val="00DF3A67"/>
    <w:rsid w:val="00DF42C2"/>
    <w:rsid w:val="00DF4744"/>
    <w:rsid w:val="00DF48F9"/>
    <w:rsid w:val="00DF53D2"/>
    <w:rsid w:val="00DF5A08"/>
    <w:rsid w:val="00DF5B4E"/>
    <w:rsid w:val="00DF69C6"/>
    <w:rsid w:val="00DF6CE1"/>
    <w:rsid w:val="00DF7063"/>
    <w:rsid w:val="00DF710B"/>
    <w:rsid w:val="00DF7861"/>
    <w:rsid w:val="00DF7B0A"/>
    <w:rsid w:val="00DF7D2E"/>
    <w:rsid w:val="00E001F3"/>
    <w:rsid w:val="00E004BF"/>
    <w:rsid w:val="00E006E3"/>
    <w:rsid w:val="00E0212C"/>
    <w:rsid w:val="00E033AC"/>
    <w:rsid w:val="00E03632"/>
    <w:rsid w:val="00E0368D"/>
    <w:rsid w:val="00E03972"/>
    <w:rsid w:val="00E03C61"/>
    <w:rsid w:val="00E04B4B"/>
    <w:rsid w:val="00E05BBD"/>
    <w:rsid w:val="00E05CBA"/>
    <w:rsid w:val="00E069E3"/>
    <w:rsid w:val="00E06F17"/>
    <w:rsid w:val="00E070F0"/>
    <w:rsid w:val="00E07DDE"/>
    <w:rsid w:val="00E10A4D"/>
    <w:rsid w:val="00E114AB"/>
    <w:rsid w:val="00E1215C"/>
    <w:rsid w:val="00E1268E"/>
    <w:rsid w:val="00E136BA"/>
    <w:rsid w:val="00E13901"/>
    <w:rsid w:val="00E13AD2"/>
    <w:rsid w:val="00E13EC3"/>
    <w:rsid w:val="00E16549"/>
    <w:rsid w:val="00E16D67"/>
    <w:rsid w:val="00E17063"/>
    <w:rsid w:val="00E21936"/>
    <w:rsid w:val="00E237D3"/>
    <w:rsid w:val="00E23EAE"/>
    <w:rsid w:val="00E24156"/>
    <w:rsid w:val="00E25DAE"/>
    <w:rsid w:val="00E26617"/>
    <w:rsid w:val="00E30C40"/>
    <w:rsid w:val="00E3139A"/>
    <w:rsid w:val="00E321E4"/>
    <w:rsid w:val="00E33D9F"/>
    <w:rsid w:val="00E33E81"/>
    <w:rsid w:val="00E344F5"/>
    <w:rsid w:val="00E34AB4"/>
    <w:rsid w:val="00E361EC"/>
    <w:rsid w:val="00E36251"/>
    <w:rsid w:val="00E36923"/>
    <w:rsid w:val="00E37111"/>
    <w:rsid w:val="00E377E7"/>
    <w:rsid w:val="00E378A4"/>
    <w:rsid w:val="00E4003E"/>
    <w:rsid w:val="00E401D5"/>
    <w:rsid w:val="00E40CC0"/>
    <w:rsid w:val="00E4100C"/>
    <w:rsid w:val="00E41016"/>
    <w:rsid w:val="00E427EF"/>
    <w:rsid w:val="00E4490B"/>
    <w:rsid w:val="00E44B32"/>
    <w:rsid w:val="00E44D2F"/>
    <w:rsid w:val="00E4526F"/>
    <w:rsid w:val="00E45BA6"/>
    <w:rsid w:val="00E45D1A"/>
    <w:rsid w:val="00E471F2"/>
    <w:rsid w:val="00E5045B"/>
    <w:rsid w:val="00E50462"/>
    <w:rsid w:val="00E5072D"/>
    <w:rsid w:val="00E509FB"/>
    <w:rsid w:val="00E50A01"/>
    <w:rsid w:val="00E51B2E"/>
    <w:rsid w:val="00E51D4B"/>
    <w:rsid w:val="00E524AB"/>
    <w:rsid w:val="00E52C06"/>
    <w:rsid w:val="00E53925"/>
    <w:rsid w:val="00E539A4"/>
    <w:rsid w:val="00E53CD7"/>
    <w:rsid w:val="00E540C7"/>
    <w:rsid w:val="00E54101"/>
    <w:rsid w:val="00E55175"/>
    <w:rsid w:val="00E555D7"/>
    <w:rsid w:val="00E55AFF"/>
    <w:rsid w:val="00E563F9"/>
    <w:rsid w:val="00E5648E"/>
    <w:rsid w:val="00E57077"/>
    <w:rsid w:val="00E603BE"/>
    <w:rsid w:val="00E60578"/>
    <w:rsid w:val="00E60C66"/>
    <w:rsid w:val="00E61570"/>
    <w:rsid w:val="00E63A91"/>
    <w:rsid w:val="00E63A92"/>
    <w:rsid w:val="00E64281"/>
    <w:rsid w:val="00E6633D"/>
    <w:rsid w:val="00E667A2"/>
    <w:rsid w:val="00E66967"/>
    <w:rsid w:val="00E66F95"/>
    <w:rsid w:val="00E67706"/>
    <w:rsid w:val="00E67A39"/>
    <w:rsid w:val="00E711B9"/>
    <w:rsid w:val="00E71607"/>
    <w:rsid w:val="00E718FB"/>
    <w:rsid w:val="00E7208A"/>
    <w:rsid w:val="00E722B5"/>
    <w:rsid w:val="00E72CF3"/>
    <w:rsid w:val="00E736B2"/>
    <w:rsid w:val="00E73A36"/>
    <w:rsid w:val="00E754B0"/>
    <w:rsid w:val="00E7713B"/>
    <w:rsid w:val="00E77B24"/>
    <w:rsid w:val="00E77E5A"/>
    <w:rsid w:val="00E80C2B"/>
    <w:rsid w:val="00E813B4"/>
    <w:rsid w:val="00E822B9"/>
    <w:rsid w:val="00E824B6"/>
    <w:rsid w:val="00E83395"/>
    <w:rsid w:val="00E84344"/>
    <w:rsid w:val="00E84579"/>
    <w:rsid w:val="00E8464C"/>
    <w:rsid w:val="00E85C8E"/>
    <w:rsid w:val="00E866D8"/>
    <w:rsid w:val="00E871B6"/>
    <w:rsid w:val="00E874A5"/>
    <w:rsid w:val="00E875B8"/>
    <w:rsid w:val="00E87C9B"/>
    <w:rsid w:val="00E87EDB"/>
    <w:rsid w:val="00E90068"/>
    <w:rsid w:val="00E90086"/>
    <w:rsid w:val="00E90E99"/>
    <w:rsid w:val="00E91394"/>
    <w:rsid w:val="00E917F6"/>
    <w:rsid w:val="00E918BB"/>
    <w:rsid w:val="00E93AF1"/>
    <w:rsid w:val="00E948F0"/>
    <w:rsid w:val="00E9636C"/>
    <w:rsid w:val="00E96BAD"/>
    <w:rsid w:val="00E976FC"/>
    <w:rsid w:val="00E977CE"/>
    <w:rsid w:val="00E978B8"/>
    <w:rsid w:val="00EA0438"/>
    <w:rsid w:val="00EA126A"/>
    <w:rsid w:val="00EA2B15"/>
    <w:rsid w:val="00EA2DB2"/>
    <w:rsid w:val="00EA3C5A"/>
    <w:rsid w:val="00EA4569"/>
    <w:rsid w:val="00EA5BFF"/>
    <w:rsid w:val="00EA5DDE"/>
    <w:rsid w:val="00EA623F"/>
    <w:rsid w:val="00EA6273"/>
    <w:rsid w:val="00EA6B81"/>
    <w:rsid w:val="00EA78DA"/>
    <w:rsid w:val="00EB18D9"/>
    <w:rsid w:val="00EB1B64"/>
    <w:rsid w:val="00EB1F41"/>
    <w:rsid w:val="00EB41F1"/>
    <w:rsid w:val="00EB42C5"/>
    <w:rsid w:val="00EB479C"/>
    <w:rsid w:val="00EB54A3"/>
    <w:rsid w:val="00EB79E0"/>
    <w:rsid w:val="00EB7C88"/>
    <w:rsid w:val="00EB7EDF"/>
    <w:rsid w:val="00EC0340"/>
    <w:rsid w:val="00EC0EA0"/>
    <w:rsid w:val="00EC0F28"/>
    <w:rsid w:val="00EC19ED"/>
    <w:rsid w:val="00EC1E40"/>
    <w:rsid w:val="00EC22B9"/>
    <w:rsid w:val="00EC26D2"/>
    <w:rsid w:val="00EC2F01"/>
    <w:rsid w:val="00EC33B5"/>
    <w:rsid w:val="00EC35CF"/>
    <w:rsid w:val="00EC45D5"/>
    <w:rsid w:val="00EC7795"/>
    <w:rsid w:val="00ED0950"/>
    <w:rsid w:val="00ED11B0"/>
    <w:rsid w:val="00ED13B4"/>
    <w:rsid w:val="00ED381B"/>
    <w:rsid w:val="00ED3B30"/>
    <w:rsid w:val="00ED517F"/>
    <w:rsid w:val="00ED52FF"/>
    <w:rsid w:val="00ED569E"/>
    <w:rsid w:val="00ED58BF"/>
    <w:rsid w:val="00ED6166"/>
    <w:rsid w:val="00ED773B"/>
    <w:rsid w:val="00ED7CDC"/>
    <w:rsid w:val="00EE1226"/>
    <w:rsid w:val="00EE170A"/>
    <w:rsid w:val="00EE2418"/>
    <w:rsid w:val="00EE29E5"/>
    <w:rsid w:val="00EE339D"/>
    <w:rsid w:val="00EE3400"/>
    <w:rsid w:val="00EE3902"/>
    <w:rsid w:val="00EE3957"/>
    <w:rsid w:val="00EE3E9C"/>
    <w:rsid w:val="00EE40A5"/>
    <w:rsid w:val="00EE4A35"/>
    <w:rsid w:val="00EE57FE"/>
    <w:rsid w:val="00EE6ED7"/>
    <w:rsid w:val="00EF02DD"/>
    <w:rsid w:val="00EF09F8"/>
    <w:rsid w:val="00EF1A66"/>
    <w:rsid w:val="00EF1DA7"/>
    <w:rsid w:val="00EF2EE9"/>
    <w:rsid w:val="00EF310C"/>
    <w:rsid w:val="00EF3265"/>
    <w:rsid w:val="00EF3520"/>
    <w:rsid w:val="00EF38E2"/>
    <w:rsid w:val="00EF3C0B"/>
    <w:rsid w:val="00EF42A8"/>
    <w:rsid w:val="00EF50F1"/>
    <w:rsid w:val="00EF536A"/>
    <w:rsid w:val="00EF5520"/>
    <w:rsid w:val="00EF56E1"/>
    <w:rsid w:val="00EF57CC"/>
    <w:rsid w:val="00EF65C6"/>
    <w:rsid w:val="00EF677C"/>
    <w:rsid w:val="00EF7117"/>
    <w:rsid w:val="00EF7C1E"/>
    <w:rsid w:val="00F00B47"/>
    <w:rsid w:val="00F00DFF"/>
    <w:rsid w:val="00F017A9"/>
    <w:rsid w:val="00F01C8D"/>
    <w:rsid w:val="00F0204F"/>
    <w:rsid w:val="00F02061"/>
    <w:rsid w:val="00F03505"/>
    <w:rsid w:val="00F0441A"/>
    <w:rsid w:val="00F046BA"/>
    <w:rsid w:val="00F0474C"/>
    <w:rsid w:val="00F049A1"/>
    <w:rsid w:val="00F04BF4"/>
    <w:rsid w:val="00F052A9"/>
    <w:rsid w:val="00F055C3"/>
    <w:rsid w:val="00F06748"/>
    <w:rsid w:val="00F072CC"/>
    <w:rsid w:val="00F074DB"/>
    <w:rsid w:val="00F10D44"/>
    <w:rsid w:val="00F11E6C"/>
    <w:rsid w:val="00F126CC"/>
    <w:rsid w:val="00F12AD5"/>
    <w:rsid w:val="00F136CB"/>
    <w:rsid w:val="00F13A09"/>
    <w:rsid w:val="00F1445A"/>
    <w:rsid w:val="00F15B76"/>
    <w:rsid w:val="00F16860"/>
    <w:rsid w:val="00F17205"/>
    <w:rsid w:val="00F179FB"/>
    <w:rsid w:val="00F20F39"/>
    <w:rsid w:val="00F22243"/>
    <w:rsid w:val="00F22995"/>
    <w:rsid w:val="00F22A3B"/>
    <w:rsid w:val="00F22E9A"/>
    <w:rsid w:val="00F2334E"/>
    <w:rsid w:val="00F23543"/>
    <w:rsid w:val="00F23953"/>
    <w:rsid w:val="00F25CCA"/>
    <w:rsid w:val="00F26AE1"/>
    <w:rsid w:val="00F27500"/>
    <w:rsid w:val="00F30FDA"/>
    <w:rsid w:val="00F320C0"/>
    <w:rsid w:val="00F33EF2"/>
    <w:rsid w:val="00F34D2D"/>
    <w:rsid w:val="00F34DBE"/>
    <w:rsid w:val="00F352B7"/>
    <w:rsid w:val="00F35DA5"/>
    <w:rsid w:val="00F368AA"/>
    <w:rsid w:val="00F37838"/>
    <w:rsid w:val="00F400F6"/>
    <w:rsid w:val="00F40486"/>
    <w:rsid w:val="00F411CD"/>
    <w:rsid w:val="00F4193B"/>
    <w:rsid w:val="00F42B60"/>
    <w:rsid w:val="00F431D6"/>
    <w:rsid w:val="00F4353B"/>
    <w:rsid w:val="00F43757"/>
    <w:rsid w:val="00F43AC3"/>
    <w:rsid w:val="00F43E5E"/>
    <w:rsid w:val="00F45A0A"/>
    <w:rsid w:val="00F45B87"/>
    <w:rsid w:val="00F45C18"/>
    <w:rsid w:val="00F45F16"/>
    <w:rsid w:val="00F51788"/>
    <w:rsid w:val="00F51A3B"/>
    <w:rsid w:val="00F5318A"/>
    <w:rsid w:val="00F53F2C"/>
    <w:rsid w:val="00F54476"/>
    <w:rsid w:val="00F546F3"/>
    <w:rsid w:val="00F54A21"/>
    <w:rsid w:val="00F55B68"/>
    <w:rsid w:val="00F56B29"/>
    <w:rsid w:val="00F57104"/>
    <w:rsid w:val="00F5736C"/>
    <w:rsid w:val="00F60595"/>
    <w:rsid w:val="00F614A2"/>
    <w:rsid w:val="00F61F63"/>
    <w:rsid w:val="00F632F7"/>
    <w:rsid w:val="00F646EE"/>
    <w:rsid w:val="00F6475D"/>
    <w:rsid w:val="00F64B4A"/>
    <w:rsid w:val="00F6571C"/>
    <w:rsid w:val="00F6579D"/>
    <w:rsid w:val="00F662B9"/>
    <w:rsid w:val="00F670A9"/>
    <w:rsid w:val="00F67963"/>
    <w:rsid w:val="00F67A82"/>
    <w:rsid w:val="00F7063E"/>
    <w:rsid w:val="00F710D7"/>
    <w:rsid w:val="00F7129C"/>
    <w:rsid w:val="00F7163E"/>
    <w:rsid w:val="00F72A15"/>
    <w:rsid w:val="00F72EC7"/>
    <w:rsid w:val="00F7347E"/>
    <w:rsid w:val="00F74348"/>
    <w:rsid w:val="00F74FD6"/>
    <w:rsid w:val="00F75D58"/>
    <w:rsid w:val="00F75D63"/>
    <w:rsid w:val="00F761FF"/>
    <w:rsid w:val="00F76798"/>
    <w:rsid w:val="00F77DB3"/>
    <w:rsid w:val="00F805AC"/>
    <w:rsid w:val="00F816C3"/>
    <w:rsid w:val="00F82974"/>
    <w:rsid w:val="00F83857"/>
    <w:rsid w:val="00F84DE6"/>
    <w:rsid w:val="00F8529E"/>
    <w:rsid w:val="00F856BE"/>
    <w:rsid w:val="00F87A29"/>
    <w:rsid w:val="00F90440"/>
    <w:rsid w:val="00F92859"/>
    <w:rsid w:val="00F92C37"/>
    <w:rsid w:val="00F94A3A"/>
    <w:rsid w:val="00F94E97"/>
    <w:rsid w:val="00F95786"/>
    <w:rsid w:val="00F95DFF"/>
    <w:rsid w:val="00F972FD"/>
    <w:rsid w:val="00F975E8"/>
    <w:rsid w:val="00F976E4"/>
    <w:rsid w:val="00FA421E"/>
    <w:rsid w:val="00FA4CF7"/>
    <w:rsid w:val="00FA4DCB"/>
    <w:rsid w:val="00FA59A9"/>
    <w:rsid w:val="00FA5C05"/>
    <w:rsid w:val="00FA6404"/>
    <w:rsid w:val="00FA6658"/>
    <w:rsid w:val="00FA6EC6"/>
    <w:rsid w:val="00FB08C8"/>
    <w:rsid w:val="00FB0908"/>
    <w:rsid w:val="00FB0BAB"/>
    <w:rsid w:val="00FB0D7E"/>
    <w:rsid w:val="00FB16C3"/>
    <w:rsid w:val="00FB1C27"/>
    <w:rsid w:val="00FB2559"/>
    <w:rsid w:val="00FB3688"/>
    <w:rsid w:val="00FB370C"/>
    <w:rsid w:val="00FB4ADF"/>
    <w:rsid w:val="00FB6749"/>
    <w:rsid w:val="00FB77B5"/>
    <w:rsid w:val="00FC00D5"/>
    <w:rsid w:val="00FC1212"/>
    <w:rsid w:val="00FC15D2"/>
    <w:rsid w:val="00FC35EF"/>
    <w:rsid w:val="00FC3B3D"/>
    <w:rsid w:val="00FC3D56"/>
    <w:rsid w:val="00FC5B41"/>
    <w:rsid w:val="00FC5F8F"/>
    <w:rsid w:val="00FC63D6"/>
    <w:rsid w:val="00FC6979"/>
    <w:rsid w:val="00FC6D2F"/>
    <w:rsid w:val="00FC6E69"/>
    <w:rsid w:val="00FC6F1B"/>
    <w:rsid w:val="00FC7182"/>
    <w:rsid w:val="00FC7D97"/>
    <w:rsid w:val="00FC7F49"/>
    <w:rsid w:val="00FD0A82"/>
    <w:rsid w:val="00FD1094"/>
    <w:rsid w:val="00FD3011"/>
    <w:rsid w:val="00FD30BA"/>
    <w:rsid w:val="00FD413F"/>
    <w:rsid w:val="00FD4A5C"/>
    <w:rsid w:val="00FD4BB1"/>
    <w:rsid w:val="00FD4D52"/>
    <w:rsid w:val="00FD502F"/>
    <w:rsid w:val="00FD53B3"/>
    <w:rsid w:val="00FD59B2"/>
    <w:rsid w:val="00FD649F"/>
    <w:rsid w:val="00FD6A33"/>
    <w:rsid w:val="00FE005B"/>
    <w:rsid w:val="00FE2F96"/>
    <w:rsid w:val="00FE2FB0"/>
    <w:rsid w:val="00FE3014"/>
    <w:rsid w:val="00FE320D"/>
    <w:rsid w:val="00FE50B8"/>
    <w:rsid w:val="00FE5231"/>
    <w:rsid w:val="00FE627A"/>
    <w:rsid w:val="00FE669A"/>
    <w:rsid w:val="00FE7375"/>
    <w:rsid w:val="00FF0476"/>
    <w:rsid w:val="00FF2118"/>
    <w:rsid w:val="00FF2993"/>
    <w:rsid w:val="00FF2AC4"/>
    <w:rsid w:val="00FF2D42"/>
    <w:rsid w:val="00FF304C"/>
    <w:rsid w:val="00FF3AC0"/>
    <w:rsid w:val="00FF3C0A"/>
    <w:rsid w:val="00FF3CE7"/>
    <w:rsid w:val="00FF5999"/>
    <w:rsid w:val="00FF5B5F"/>
    <w:rsid w:val="00FF6149"/>
    <w:rsid w:val="00FF6A2E"/>
    <w:rsid w:val="00FF782D"/>
    <w:rsid w:val="62246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24"/>
    <w:semiHidden/>
    <w:unhideWhenUsed/>
    <w:qFormat/>
    <w:uiPriority w:val="0"/>
    <w:rPr>
      <w:rFonts w:ascii="宋体"/>
      <w:sz w:val="18"/>
      <w:szCs w:val="18"/>
    </w:rPr>
  </w:style>
  <w:style w:type="paragraph" w:styleId="3">
    <w:name w:val="annotation text"/>
    <w:basedOn w:val="1"/>
    <w:link w:val="21"/>
    <w:semiHidden/>
    <w:unhideWhenUsed/>
    <w:uiPriority w:val="0"/>
    <w:pPr>
      <w:jc w:val="left"/>
    </w:pPr>
  </w:style>
  <w:style w:type="paragraph" w:styleId="4">
    <w:name w:val="Balloon Text"/>
    <w:basedOn w:val="1"/>
    <w:semiHidden/>
    <w:qFormat/>
    <w:uiPriority w:val="0"/>
    <w:rPr>
      <w:sz w:val="18"/>
      <w:szCs w:val="18"/>
    </w:rPr>
  </w:style>
  <w:style w:type="paragraph" w:styleId="5">
    <w:name w:val="footer"/>
    <w:basedOn w:val="1"/>
    <w:link w:val="18"/>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unhideWhenUsed/>
    <w:qFormat/>
    <w:uiPriority w:val="0"/>
    <w:pPr>
      <w:snapToGrid w:val="0"/>
      <w:jc w:val="left"/>
    </w:pPr>
    <w:rPr>
      <w:rFonts w:eastAsia="楷体_GB2312"/>
      <w:sz w:val="18"/>
      <w:szCs w:val="18"/>
    </w:rPr>
  </w:style>
  <w:style w:type="paragraph" w:styleId="8">
    <w:name w:val="annotation subject"/>
    <w:basedOn w:val="3"/>
    <w:next w:val="3"/>
    <w:link w:val="22"/>
    <w:semiHidden/>
    <w:unhideWhenUsed/>
    <w:qFormat/>
    <w:uiPriority w:val="0"/>
    <w:rPr>
      <w:b/>
      <w:bCs/>
    </w:rPr>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Hyperlink"/>
    <w:basedOn w:val="11"/>
    <w:unhideWhenUsed/>
    <w:uiPriority w:val="0"/>
    <w:rPr>
      <w:color w:val="0000FF" w:themeColor="hyperlink"/>
      <w:u w:val="single"/>
    </w:rPr>
  </w:style>
  <w:style w:type="character" w:styleId="13">
    <w:name w:val="annotation reference"/>
    <w:basedOn w:val="11"/>
    <w:semiHidden/>
    <w:unhideWhenUsed/>
    <w:qFormat/>
    <w:uiPriority w:val="0"/>
    <w:rPr>
      <w:sz w:val="21"/>
      <w:szCs w:val="21"/>
    </w:rPr>
  </w:style>
  <w:style w:type="character" w:styleId="14">
    <w:name w:val="footnote reference"/>
    <w:basedOn w:val="11"/>
    <w:unhideWhenUsed/>
    <w:qFormat/>
    <w:uiPriority w:val="0"/>
    <w:rPr>
      <w:vertAlign w:val="superscript"/>
    </w:rPr>
  </w:style>
  <w:style w:type="paragraph" w:customStyle="1" w:styleId="15">
    <w:name w:val="Char Char Char"/>
    <w:basedOn w:val="1"/>
    <w:uiPriority w:val="0"/>
    <w:pPr>
      <w:widowControl/>
      <w:autoSpaceDE w:val="0"/>
      <w:autoSpaceDN w:val="0"/>
      <w:adjustRightInd w:val="0"/>
      <w:jc w:val="left"/>
    </w:pPr>
    <w:rPr>
      <w:rFonts w:ascii="Futura Bk" w:hAnsi="Futura Bk"/>
      <w:kern w:val="0"/>
      <w:sz w:val="20"/>
      <w:szCs w:val="20"/>
      <w:lang w:val="en-GB" w:eastAsia="en-US"/>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页脚 字符"/>
    <w:basedOn w:val="11"/>
    <w:link w:val="5"/>
    <w:qFormat/>
    <w:uiPriority w:val="99"/>
    <w:rPr>
      <w:kern w:val="2"/>
      <w:sz w:val="18"/>
      <w:szCs w:val="18"/>
    </w:rPr>
  </w:style>
  <w:style w:type="character" w:styleId="19">
    <w:name w:val="Placeholder Text"/>
    <w:basedOn w:val="11"/>
    <w:semiHidden/>
    <w:qFormat/>
    <w:uiPriority w:val="99"/>
    <w:rPr>
      <w:color w:val="808080"/>
    </w:rPr>
  </w:style>
  <w:style w:type="character" w:customStyle="1" w:styleId="20">
    <w:name w:val="脚注文本 字符"/>
    <w:basedOn w:val="11"/>
    <w:link w:val="7"/>
    <w:qFormat/>
    <w:uiPriority w:val="0"/>
    <w:rPr>
      <w:rFonts w:eastAsia="楷体_GB2312"/>
      <w:kern w:val="2"/>
      <w:sz w:val="18"/>
      <w:szCs w:val="18"/>
    </w:rPr>
  </w:style>
  <w:style w:type="character" w:customStyle="1" w:styleId="21">
    <w:name w:val="批注文字 字符"/>
    <w:basedOn w:val="11"/>
    <w:link w:val="3"/>
    <w:semiHidden/>
    <w:qFormat/>
    <w:uiPriority w:val="0"/>
    <w:rPr>
      <w:kern w:val="2"/>
      <w:sz w:val="21"/>
      <w:szCs w:val="24"/>
    </w:rPr>
  </w:style>
  <w:style w:type="character" w:customStyle="1" w:styleId="22">
    <w:name w:val="批注主题 字符"/>
    <w:basedOn w:val="21"/>
    <w:link w:val="8"/>
    <w:semiHidden/>
    <w:qFormat/>
    <w:uiPriority w:val="0"/>
    <w:rPr>
      <w:b/>
      <w:bCs/>
      <w:kern w:val="2"/>
      <w:sz w:val="21"/>
      <w:szCs w:val="24"/>
    </w:rPr>
  </w:style>
  <w:style w:type="paragraph" w:customStyle="1" w:styleId="23">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24">
    <w:name w:val="文档结构图 字符"/>
    <w:basedOn w:val="11"/>
    <w:link w:val="2"/>
    <w:semiHidden/>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436"/>
    <customShpInfo spid="_x0000_s1437"/>
    <customShpInfo spid="_x0000_s1397"/>
    <customShpInfo spid="_x0000_s1398"/>
    <customShpInfo spid="_x0000_s1428"/>
    <customShpInfo spid="_x0000_s1388"/>
    <customShpInfo spid="_x0000_s1439"/>
    <customShpInfo spid="_x0000_s14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F2562-CF58-434E-AE0F-D9EB42B880D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1169</Words>
  <Characters>6665</Characters>
  <Lines>55</Lines>
  <Paragraphs>15</Paragraphs>
  <TotalTime>4792</TotalTime>
  <ScaleCrop>false</ScaleCrop>
  <LinksUpToDate>false</LinksUpToDate>
  <CharactersWithSpaces>7819</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2019-10-29T06:59:00Z</dcterms:created>
  <dc:creator>泰康人寿</dc:creator>
  <cp:lastModifiedBy>Administrator</cp:lastModifiedBy>
  <cp:lastPrinted>2025-07-14T03:35:00Z</cp:lastPrinted>
  <dcterms:modified xsi:type="dcterms:W3CDTF">2025-09-01T07:27:00Z</dcterms:modified>
  <dc:title>《泰康颐瑞2号养老年金保险（万能型）》条款</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C1C8305A92CC4A1E96744509E39FCD0C</vt:lpwstr>
  </property>
</Properties>
</file>