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rFonts w:ascii="黑体" w:hAnsi="黑体" w:eastAsia="黑体" w:cs="Arial"/>
          <w:color w:val="000000"/>
          <w:sz w:val="28"/>
          <w:szCs w:val="28"/>
        </w:rPr>
      </w:pPr>
      <w:bookmarkStart w:id="0" w:name="OLE_LINK2"/>
      <w:r>
        <w:rPr>
          <w:rFonts w:ascii="黑体" w:hAnsi="黑体" w:eastAsia="黑体" w:cs="Arial"/>
          <w:color w:val="000000"/>
          <w:sz w:val="28"/>
          <w:szCs w:val="28"/>
        </w:rPr>
        <w:drawing>
          <wp:anchor distT="0" distB="0" distL="114300" distR="114300" simplePos="0" relativeHeight="251668480" behindDoc="0" locked="0" layoutInCell="1" allowOverlap="1">
            <wp:simplePos x="0" y="0"/>
            <wp:positionH relativeFrom="column">
              <wp:posOffset>5476240</wp:posOffset>
            </wp:positionH>
            <wp:positionV relativeFrom="paragraph">
              <wp:posOffset>-118745</wp:posOffset>
            </wp:positionV>
            <wp:extent cx="720090" cy="720090"/>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anchor>
        </w:drawing>
      </w:r>
      <w:r>
        <w:rPr>
          <w:rFonts w:ascii="黑体" w:hAnsi="黑体" w:eastAsia="黑体" w:cs="Arial"/>
          <w:color w:val="000000"/>
          <w:sz w:val="28"/>
          <w:szCs w:val="28"/>
        </w:rPr>
        <w:pict>
          <v:shape id="Text Box 359" o:spid="_x0000_s1436" o:spt="202" type="#_x0000_t202" style="position:absolute;left:0pt;margin-left:370.8pt;margin-top:24.65pt;height:22.8pt;width:204.1pt;mso-position-horizontal-relative:page;mso-position-vertical-relative:page;z-index:251664384;mso-width-relative:margin;mso-height-relative:margin;" stroked="f" coordsize="21600,21600">
            <v:path/>
            <v:fill focussize="0,0"/>
            <v:stroke on="f" joinstyle="miter"/>
            <v:imagedata o:title=""/>
            <o:lock v:ext="edit"/>
            <v:textbox>
              <w:txbxContent>
                <w:p>
                  <w:pPr>
                    <w:jc w:val="right"/>
                  </w:pPr>
                  <w:r>
                    <w:rPr>
                      <w:rFonts w:hint="eastAsia" w:ascii="仿宋_GB2312" w:hAnsi="宋体" w:eastAsia="仿宋_GB2312"/>
                    </w:rPr>
                    <w:t>泰康人寿[20</w:t>
                  </w:r>
                  <w:r>
                    <w:rPr>
                      <w:rFonts w:ascii="仿宋_GB2312" w:hAnsi="宋体" w:eastAsia="仿宋_GB2312"/>
                    </w:rPr>
                    <w:t>25</w:t>
                  </w:r>
                  <w:r>
                    <w:rPr>
                      <w:rFonts w:hint="eastAsia" w:ascii="仿宋_GB2312" w:hAnsi="宋体" w:eastAsia="仿宋_GB2312"/>
                    </w:rPr>
                    <w:t>]养老年金保险</w:t>
                  </w:r>
                  <w:r>
                    <w:rPr>
                      <w:rFonts w:ascii="仿宋_GB2312" w:hAnsi="宋体" w:eastAsia="仿宋_GB2312"/>
                    </w:rPr>
                    <w:t>053</w:t>
                  </w:r>
                  <w:r>
                    <w:rPr>
                      <w:rFonts w:hint="eastAsia" w:ascii="仿宋_GB2312" w:hAnsi="宋体" w:eastAsia="仿宋_GB2312"/>
                    </w:rPr>
                    <w:t>号</w:t>
                  </w:r>
                </w:p>
              </w:txbxContent>
            </v:textbox>
          </v:shape>
        </w:pict>
      </w:r>
    </w:p>
    <w:bookmarkEnd w:id="0"/>
    <w:p>
      <w:pPr>
        <w:jc w:val="center"/>
        <w:rPr>
          <w:rFonts w:ascii="华文中宋" w:eastAsia="华文中宋"/>
          <w:b/>
          <w:sz w:val="32"/>
        </w:rPr>
      </w:pPr>
      <w:r>
        <w:rPr>
          <w:rFonts w:ascii="华文中宋" w:eastAsia="华文中宋"/>
          <w:b/>
          <w:sz w:val="28"/>
        </w:rPr>
        <w:pict>
          <v:shape id="Text Box 360" o:spid="_x0000_s1437" o:spt="202" type="#_x0000_t202" style="position:absolute;left:0pt;margin-left:370.75pt;margin-top:103.75pt;height:22.7pt;width:204.1pt;mso-position-horizontal-relative:page;mso-position-vertical-relative:page;z-index:251665408;mso-width-relative:margin;mso-height-relative:margin;" stroked="f" coordsize="21600,21600">
            <v:path/>
            <v:fill focussize="0,0"/>
            <v:stroke on="f" joinstyle="miter"/>
            <v:imagedata o:title=""/>
            <o:lock v:ext="edit"/>
            <v:textbox>
              <w:txbxContent>
                <w:p>
                  <w:pPr>
                    <w:jc w:val="right"/>
                    <w:rPr>
                      <w:rFonts w:ascii="仿宋_GB2312" w:hAnsi="宋体" w:eastAsia="仿宋_GB2312"/>
                      <w:szCs w:val="21"/>
                    </w:rPr>
                  </w:pPr>
                  <w:r>
                    <w:rPr>
                      <w:rFonts w:hint="eastAsia" w:ascii="仿宋_GB2312" w:hAnsi="宋体" w:eastAsia="仿宋_GB2312"/>
                      <w:szCs w:val="21"/>
                    </w:rPr>
                    <w:t>请扫描以查询验证条款</w:t>
                  </w:r>
                </w:p>
              </w:txbxContent>
            </v:textbox>
          </v:shape>
        </w:pict>
      </w:r>
      <w:r>
        <w:rPr>
          <w:rFonts w:hint="eastAsia" w:ascii="华文中宋" w:eastAsia="华文中宋"/>
          <w:b/>
          <w:sz w:val="28"/>
        </w:rPr>
        <w:t>泰康颐瑞2号（尊赢版）养老年金保险（万能型）条款</w:t>
      </w:r>
    </w:p>
    <w:p>
      <w:pPr>
        <w:widowControl/>
        <w:jc w:val="center"/>
        <w:rPr>
          <w:rFonts w:ascii="华文中宋" w:eastAsia="华文中宋"/>
          <w:b/>
          <w:sz w:val="28"/>
        </w:rPr>
      </w:pPr>
      <w:r>
        <w:rPr>
          <w:rFonts w:hint="eastAsia" w:ascii="华文中宋" w:eastAsia="华文中宋"/>
          <w:b/>
          <w:sz w:val="28"/>
        </w:rPr>
        <w:t>阅读指引</w:t>
      </w:r>
    </w:p>
    <w:p>
      <w:pPr>
        <w:widowControl/>
        <w:rPr>
          <w:rFonts w:ascii="华文中宋" w:eastAsia="华文中宋"/>
          <w:b/>
          <w:sz w:val="15"/>
          <w:szCs w:val="15"/>
        </w:rPr>
      </w:pPr>
      <w:r>
        <w:rPr>
          <w:rFonts w:ascii="华文中宋" w:eastAsia="华文中宋"/>
          <w:b/>
          <w:sz w:val="15"/>
          <w:szCs w:val="15"/>
        </w:rPr>
        <w:pict>
          <v:shape id="_x0000_s1397" o:spid="_x0000_s1397" o:spt="202" type="#_x0000_t202" style="position:absolute;left:0pt;margin-left:-3.5pt;margin-top:14.65pt;height:23.5pt;width:488.5pt;z-index:251661312;mso-width-relative:margin;mso-height-relative:margin;" fillcolor="#D8D8D8" filled="t" stroked="f" coordsize="21600,21600">
            <v:path/>
            <v:fill type="gradient" on="t" color2="#A5A5A5" opacity="28836f" focus="100%" focussize="0,0" rotate="t"/>
            <v:stroke on="f" joinstyle="miter"/>
            <v:imagedata o:title=""/>
            <o:lock v:ext="edit"/>
            <v:textbox>
              <w:txbxContent>
                <w:p>
                  <w:pPr>
                    <w:rPr>
                      <w:rFonts w:asciiTheme="minorEastAsia" w:hAnsiTheme="minorEastAsia" w:eastAsiaTheme="minorEastAsia"/>
                    </w:rPr>
                  </w:pPr>
                </w:p>
              </w:txbxContent>
            </v:textbox>
          </v:shape>
        </w:pict>
      </w:r>
      <w:r>
        <w:rPr>
          <w:rFonts w:ascii="Arial" w:hAnsi="Arial" w:eastAsia="华文中宋"/>
          <w:b/>
          <w:kern w:val="0"/>
          <w:sz w:val="32"/>
          <w:szCs w:val="28"/>
        </w:rPr>
        <w:pict>
          <v:shape id="_x0000_s1398" o:spid="_x0000_s1398" o:spt="202" type="#_x0000_t202" style="position:absolute;left:0pt;margin-left:-4.9pt;margin-top:5.75pt;height:34.4pt;width:146.6pt;z-index:251662336;mso-width-relative:margin;mso-height-relative:margin;" fillcolor="#548DD4" filled="f" stroked="f" coordsize="21600,21600">
            <v:path/>
            <v:fill on="f" focussize="0,0"/>
            <v:stroke on="f" joinstyle="miter"/>
            <v:imagedata o:title=""/>
            <o:lock v:ext="edit"/>
            <v:textbox>
              <w:txbxContent>
                <w:p>
                  <w:pPr>
                    <w:rPr>
                      <w:rFonts w:ascii="微软雅黑" w:hAnsi="微软雅黑" w:eastAsia="微软雅黑"/>
                      <w:sz w:val="30"/>
                      <w:szCs w:val="30"/>
                    </w:rPr>
                  </w:pPr>
                  <w:r>
                    <w:rPr>
                      <w:rFonts w:hint="eastAsia" w:asciiTheme="majorEastAsia" w:hAnsiTheme="majorEastAsia" w:eastAsiaTheme="majorEastAsia"/>
                      <w:b/>
                      <w:sz w:val="28"/>
                      <w:szCs w:val="28"/>
                    </w:rPr>
                    <w:t>1</w:t>
                  </w:r>
                  <w:r>
                    <w:rPr>
                      <w:rFonts w:hint="eastAsia" w:ascii="宋体" w:hAnsi="宋体"/>
                      <w:b/>
                      <w:sz w:val="28"/>
                      <w:szCs w:val="28"/>
                    </w:rPr>
                    <w:t>我们的保障</w:t>
                  </w:r>
                </w:p>
              </w:txbxContent>
            </v:textbox>
          </v:shape>
        </w:pict>
      </w:r>
    </w:p>
    <w:tbl>
      <w:tblPr>
        <w:tblStyle w:val="10"/>
        <w:tblW w:w="98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1"/>
        <w:gridCol w:w="94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391" w:type="dxa"/>
            <w:vAlign w:val="center"/>
          </w:tcPr>
          <w:p>
            <w:pPr>
              <w:pStyle w:val="17"/>
              <w:widowControl/>
              <w:ind w:firstLine="0" w:firstLineChars="0"/>
              <w:jc w:val="left"/>
              <w:rPr>
                <w:rFonts w:ascii="Arial" w:hAnsi="Arial" w:eastAsia="华文中宋"/>
                <w:b/>
                <w:kern w:val="0"/>
                <w:sz w:val="32"/>
                <w:szCs w:val="28"/>
              </w:rPr>
            </w:pPr>
          </w:p>
        </w:tc>
        <w:tc>
          <w:tcPr>
            <w:tcW w:w="9498" w:type="dxa"/>
            <w:vAlign w:val="center"/>
          </w:tcPr>
          <w:p>
            <w:pPr>
              <w:widowControl/>
              <w:rPr>
                <w:rFonts w:asciiTheme="minorEastAsia" w:hAnsiTheme="minorEastAsia" w:eastAsiaTheme="minorEastAsia"/>
                <w:b/>
                <w:position w:val="-12"/>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exact"/>
        </w:trPr>
        <w:tc>
          <w:tcPr>
            <w:tcW w:w="391" w:type="dxa"/>
            <w:vAlign w:val="center"/>
          </w:tcPr>
          <w:p>
            <w:pPr>
              <w:widowControl/>
              <w:jc w:val="left"/>
              <w:rPr>
                <w:rFonts w:ascii="Arial" w:hAnsi="Arial" w:eastAsia="华文中宋"/>
                <w:b/>
                <w:kern w:val="0"/>
                <w:sz w:val="32"/>
                <w:szCs w:val="28"/>
              </w:rPr>
            </w:pPr>
          </w:p>
        </w:tc>
        <w:tc>
          <w:tcPr>
            <w:tcW w:w="9498" w:type="dxa"/>
            <w:vAlign w:val="center"/>
          </w:tcPr>
          <w:p>
            <w:pPr>
              <w:spacing w:line="400" w:lineRule="exact"/>
              <w:rPr>
                <w:rFonts w:ascii="Wingdings" w:hAnsi="Wingding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889" w:type="dxa"/>
            <w:gridSpan w:val="2"/>
            <w:vAlign w:val="center"/>
          </w:tcPr>
          <w:p>
            <w:pPr>
              <w:widowControl/>
              <w:rPr>
                <w:rFonts w:ascii="宋体" w:hAnsi="宋体"/>
                <w:position w:val="-12"/>
                <w:szCs w:val="21"/>
              </w:rPr>
            </w:pPr>
            <w:r>
              <w:rPr>
                <w:rFonts w:ascii="Wingdings" w:hAnsi="Wingdings"/>
                <w:position w:val="-10"/>
              </w:rPr>
              <w:t></w:t>
            </w:r>
            <w:r>
              <w:rPr>
                <w:rFonts w:hint="eastAsia" w:ascii="宋体" w:hAnsi="宋体"/>
                <w:position w:val="-12"/>
                <w:szCs w:val="21"/>
              </w:rPr>
              <w:t>泰康颐瑞2号（尊赢版）养老年金保险（万能型）（以下简称“颐瑞2号（尊赢版）”）为万能险。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889" w:type="dxa"/>
            <w:gridSpan w:val="2"/>
            <w:vAlign w:val="center"/>
          </w:tcPr>
          <w:p>
            <w:pPr>
              <w:widowControl/>
              <w:ind w:left="420" w:hanging="420" w:hangingChars="200"/>
              <w:rPr>
                <w:rFonts w:ascii="宋体" w:hAnsi="宋体"/>
                <w:position w:val="-12"/>
                <w:szCs w:val="21"/>
              </w:rPr>
            </w:pPr>
            <w:r>
              <w:rPr>
                <w:rFonts w:ascii="Wingdings" w:hAnsi="Wingdings"/>
                <w:position w:val="-10"/>
              </w:rPr>
              <w:t>本产品提供生存、身故保障，同时提供最低保证利率，保单账户价值按不低于最低保证利率的结算利率累积。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exact"/>
        </w:trPr>
        <w:tc>
          <w:tcPr>
            <w:tcW w:w="391" w:type="dxa"/>
          </w:tcPr>
          <w:p>
            <w:pPr>
              <w:widowControl/>
              <w:jc w:val="left"/>
              <w:rPr>
                <w:rFonts w:ascii="Arial" w:hAnsi="Arial" w:eastAsia="华文中宋"/>
                <w:b/>
                <w:kern w:val="0"/>
                <w:sz w:val="32"/>
                <w:szCs w:val="28"/>
              </w:rPr>
            </w:pPr>
            <w:r>
              <w:rPr>
                <w:rFonts w:ascii="Arial" w:hAnsi="Arial" w:eastAsia="华文中宋"/>
                <w:b/>
                <w:kern w:val="0"/>
                <w:sz w:val="32"/>
                <w:szCs w:val="28"/>
              </w:rPr>
              <w:pict>
                <v:shape id="_x0000_s1428" o:spid="_x0000_s1428" o:spt="202" type="#_x0000_t202" style="position:absolute;left:0pt;margin-left:-4.9pt;margin-top:2.45pt;height:34.4pt;width:149pt;z-index:251663360;mso-width-relative:margin;mso-height-relative:margin;" fillcolor="#548DD4" filled="f" stroked="f" coordsize="21600,21600">
                  <v:path/>
                  <v:fill on="f" focussize="0,0"/>
                  <v:stroke on="f" joinstyle="miter"/>
                  <v:imagedata o:title=""/>
                  <o:lock v:ext="edit"/>
                  <v:textbox>
                    <w:txbxContent>
                      <w:p>
                        <w:pPr>
                          <w:rPr>
                            <w:rFonts w:ascii="微软雅黑" w:hAnsi="微软雅黑" w:eastAsia="微软雅黑"/>
                            <w:sz w:val="30"/>
                            <w:szCs w:val="30"/>
                          </w:rPr>
                        </w:pPr>
                        <w:r>
                          <w:rPr>
                            <w:rFonts w:hint="eastAsia" w:asciiTheme="majorEastAsia" w:hAnsiTheme="majorEastAsia" w:eastAsiaTheme="majorEastAsia"/>
                            <w:b/>
                            <w:sz w:val="28"/>
                            <w:szCs w:val="28"/>
                          </w:rPr>
                          <w:t>2</w:t>
                        </w:r>
                        <w:r>
                          <w:rPr>
                            <w:rFonts w:hint="eastAsia" w:ascii="宋体" w:hAnsi="宋体"/>
                            <w:b/>
                            <w:sz w:val="28"/>
                            <w:szCs w:val="28"/>
                          </w:rPr>
                          <w:t>名词解释</w:t>
                        </w:r>
                      </w:p>
                    </w:txbxContent>
                  </v:textbox>
                </v:shape>
              </w:pict>
            </w:r>
          </w:p>
        </w:tc>
        <w:tc>
          <w:tcPr>
            <w:tcW w:w="9498" w:type="dxa"/>
            <w:vAlign w:val="bottom"/>
          </w:tcPr>
          <w:p>
            <w:pPr>
              <w:widowControl/>
              <w:rPr>
                <w:rFonts w:ascii="Arial" w:hAnsi="Arial" w:eastAsia="华文中宋"/>
                <w:b/>
                <w:kern w:val="0"/>
                <w:sz w:val="32"/>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391" w:type="dxa"/>
            <w:vAlign w:val="center"/>
          </w:tcPr>
          <w:p>
            <w:pPr>
              <w:pStyle w:val="17"/>
              <w:widowControl/>
              <w:ind w:firstLine="0" w:firstLineChars="0"/>
              <w:jc w:val="left"/>
              <w:rPr>
                <w:rFonts w:ascii="Arial" w:hAnsi="Arial" w:eastAsia="华文中宋"/>
                <w:b/>
                <w:kern w:val="0"/>
                <w:sz w:val="32"/>
                <w:szCs w:val="28"/>
              </w:rPr>
            </w:pPr>
            <w:r>
              <w:rPr>
                <w:rFonts w:asciiTheme="minorEastAsia" w:hAnsiTheme="minorEastAsia" w:eastAsiaTheme="minorEastAsia"/>
                <w:b/>
                <w:position w:val="-12"/>
                <w:szCs w:val="21"/>
              </w:rPr>
              <w:pict>
                <v:shape id="_x0000_s1388" o:spid="_x0000_s1388" o:spt="202" type="#_x0000_t202" style="position:absolute;left:0pt;margin-left:-4.15pt;margin-top:-0.3pt;height:23.5pt;width:488.3pt;z-index:251660288;mso-width-relative:margin;mso-height-relative:margin;" fillcolor="#D8D8D8" filled="t" stroked="f" coordsize="21600,21600">
                  <v:path/>
                  <v:fill type="gradient" on="t" color2="#A5A5A5" opacity="28836f" focus="100%" focussize="0,0" rotate="t"/>
                  <v:stroke on="f" joinstyle="miter"/>
                  <v:imagedata o:title=""/>
                  <o:lock v:ext="edit"/>
                  <v:textbox>
                    <w:txbxContent>
                      <w:p>
                        <w:pPr>
                          <w:rPr>
                            <w:rFonts w:asciiTheme="minorEastAsia" w:hAnsiTheme="minorEastAsia" w:eastAsiaTheme="minorEastAsia"/>
                          </w:rPr>
                        </w:pPr>
                      </w:p>
                    </w:txbxContent>
                  </v:textbox>
                </v:shape>
              </w:pict>
            </w:r>
          </w:p>
        </w:tc>
        <w:tc>
          <w:tcPr>
            <w:tcW w:w="9498" w:type="dxa"/>
            <w:vAlign w:val="center"/>
          </w:tcPr>
          <w:p>
            <w:pPr>
              <w:widowControl/>
              <w:rPr>
                <w:rFonts w:asciiTheme="minorEastAsia" w:hAnsiTheme="minorEastAsia" w:eastAsiaTheme="minorEastAsia"/>
                <w:b/>
                <w:position w:val="-12"/>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exact"/>
        </w:trPr>
        <w:tc>
          <w:tcPr>
            <w:tcW w:w="391" w:type="dxa"/>
            <w:vAlign w:val="center"/>
          </w:tcPr>
          <w:p>
            <w:pPr>
              <w:widowControl/>
              <w:jc w:val="left"/>
              <w:rPr>
                <w:rFonts w:ascii="Arial" w:hAnsi="Arial" w:eastAsia="华文中宋"/>
                <w:b/>
                <w:kern w:val="0"/>
                <w:sz w:val="32"/>
                <w:szCs w:val="28"/>
              </w:rPr>
            </w:pPr>
          </w:p>
        </w:tc>
        <w:tc>
          <w:tcPr>
            <w:tcW w:w="9498" w:type="dxa"/>
            <w:vAlign w:val="center"/>
          </w:tcPr>
          <w:p>
            <w:pPr>
              <w:spacing w:line="400" w:lineRule="exact"/>
              <w:rPr>
                <w:rFonts w:ascii="Wingdings" w:hAnsi="Wingding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9889" w:type="dxa"/>
            <w:gridSpan w:val="2"/>
            <w:vAlign w:val="center"/>
          </w:tcPr>
          <w:p>
            <w:pPr>
              <w:rPr>
                <w:rFonts w:ascii="Wingdings" w:hAnsi="Wingdings"/>
              </w:rPr>
            </w:pPr>
            <w:r>
              <w:rPr>
                <w:rFonts w:ascii="Wingdings" w:hAnsi="Wingdings"/>
              </w:rPr>
              <w:t></w:t>
            </w:r>
            <w:r>
              <w:rPr>
                <w:rFonts w:ascii="Wingdings" w:hAnsi="Wingdings"/>
                <w:b/>
              </w:rPr>
              <w:t>投保人：</w:t>
            </w:r>
            <w:r>
              <w:rPr>
                <w:rFonts w:ascii="Wingdings" w:hAnsi="Wingdings"/>
              </w:rPr>
              <w:t>购买保险并支付保险费的人。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9889" w:type="dxa"/>
            <w:gridSpan w:val="2"/>
            <w:vAlign w:val="center"/>
          </w:tcPr>
          <w:p>
            <w:pPr>
              <w:rPr>
                <w:rFonts w:ascii="Wingdings" w:hAnsi="Wingdings"/>
              </w:rPr>
            </w:pPr>
            <w:r>
              <w:rPr>
                <w:rFonts w:ascii="Wingdings" w:hAnsi="Wingdings"/>
              </w:rPr>
              <w:t></w:t>
            </w:r>
            <w:r>
              <w:rPr>
                <w:rFonts w:ascii="Wingdings" w:hAnsi="Wingdings"/>
                <w:b/>
              </w:rPr>
              <w:t>被保险人：</w:t>
            </w:r>
            <w:r>
              <w:rPr>
                <w:rFonts w:ascii="Wingdings" w:hAnsi="Wingdings"/>
              </w:rPr>
              <w:t>受保险合同保障的人。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9889" w:type="dxa"/>
            <w:gridSpan w:val="2"/>
            <w:vAlign w:val="center"/>
          </w:tcPr>
          <w:p>
            <w:pPr>
              <w:tabs>
                <w:tab w:val="left" w:pos="426"/>
              </w:tabs>
              <w:rPr>
                <w:rFonts w:ascii="Wingdings" w:hAnsi="Wingdings"/>
              </w:rPr>
            </w:pPr>
            <w:r>
              <w:rPr>
                <w:rFonts w:ascii="Wingdings" w:hAnsi="Wingdings"/>
              </w:rPr>
              <w:t></w:t>
            </w:r>
            <w:r>
              <w:rPr>
                <w:rFonts w:ascii="Wingdings" w:hAnsi="Wingdings"/>
                <w:b/>
              </w:rPr>
              <w:t>养老保险金受益人：</w:t>
            </w:r>
            <w:r>
              <w:rPr>
                <w:rFonts w:hint="eastAsia" w:ascii="宋体" w:hAnsi="宋体"/>
              </w:rPr>
              <w:t>被保险人生存期间领取养老保险金的人</w:t>
            </w:r>
            <w:r>
              <w:rPr>
                <w:rFonts w:ascii="Wingdings" w:hAnsi="Wingdings"/>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9889" w:type="dxa"/>
            <w:gridSpan w:val="2"/>
            <w:vAlign w:val="center"/>
          </w:tcPr>
          <w:p>
            <w:pPr>
              <w:tabs>
                <w:tab w:val="left" w:pos="426"/>
              </w:tabs>
              <w:rPr>
                <w:rFonts w:ascii="Wingdings" w:hAnsi="Wingdings"/>
              </w:rPr>
            </w:pPr>
            <w:r>
              <w:rPr>
                <w:rFonts w:ascii="Wingdings" w:hAnsi="Wingdings"/>
              </w:rPr>
              <w:t></w:t>
            </w:r>
            <w:r>
              <w:rPr>
                <w:rFonts w:ascii="Wingdings" w:hAnsi="Wingdings"/>
                <w:b/>
              </w:rPr>
              <w:t>身故保险金受益人：</w:t>
            </w:r>
            <w:r>
              <w:rPr>
                <w:rFonts w:hint="eastAsia" w:ascii="宋体" w:hAnsi="宋体"/>
              </w:rPr>
              <w:t>被保险人身故后领取身故保险金的</w:t>
            </w:r>
            <w:r>
              <w:rPr>
                <w:rFonts w:ascii="宋体" w:hAnsi="宋体"/>
              </w:rPr>
              <w:t>人</w:t>
            </w:r>
            <w:r>
              <w:rPr>
                <w:rFonts w:ascii="Wingdings" w:hAnsi="Wingdings"/>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 w:hRule="exact"/>
        </w:trPr>
        <w:tc>
          <w:tcPr>
            <w:tcW w:w="391" w:type="dxa"/>
            <w:vAlign w:val="center"/>
          </w:tcPr>
          <w:p>
            <w:pPr>
              <w:widowControl/>
              <w:jc w:val="left"/>
              <w:rPr>
                <w:rFonts w:ascii="Arial" w:hAnsi="Arial" w:eastAsia="华文中宋"/>
                <w:b/>
                <w:kern w:val="0"/>
                <w:sz w:val="32"/>
                <w:szCs w:val="28"/>
              </w:rPr>
            </w:pPr>
            <w:r>
              <w:rPr>
                <w:rFonts w:asciiTheme="minorEastAsia" w:hAnsiTheme="minorEastAsia" w:eastAsiaTheme="minorEastAsia"/>
                <w:b/>
                <w:position w:val="-12"/>
                <w:szCs w:val="21"/>
              </w:rPr>
              <w:pict>
                <v:shape id="_x0000_s1439" o:spid="_x0000_s1439" o:spt="202" type="#_x0000_t202" style="position:absolute;left:0pt;margin-left:-3.65pt;margin-top:7.85pt;height:23.5pt;width:488.7pt;z-index:251666432;mso-width-relative:margin;mso-height-relative:margin;" fillcolor="#D8D8D8" filled="t" stroked="f" coordsize="21600,21600">
                  <v:path/>
                  <v:fill type="gradient" on="t" color2="#A5A5A5" opacity="28836f" focus="100%" focussize="0,0" rotate="t"/>
                  <v:stroke on="f" joinstyle="miter"/>
                  <v:imagedata o:title=""/>
                  <o:lock v:ext="edit"/>
                  <v:textbox>
                    <w:txbxContent>
                      <w:p>
                        <w:pPr>
                          <w:rPr>
                            <w:rFonts w:asciiTheme="minorEastAsia" w:hAnsiTheme="minorEastAsia" w:eastAsiaTheme="minorEastAsia"/>
                          </w:rPr>
                        </w:pPr>
                      </w:p>
                    </w:txbxContent>
                  </v:textbox>
                </v:shape>
              </w:pict>
            </w:r>
            <w:r>
              <w:rPr>
                <w:rFonts w:ascii="Arial" w:hAnsi="Arial" w:eastAsia="华文中宋"/>
                <w:b/>
                <w:kern w:val="0"/>
                <w:sz w:val="32"/>
                <w:szCs w:val="28"/>
              </w:rPr>
              <w:pict>
                <v:shape id="_x0000_s1440" o:spid="_x0000_s1440" o:spt="202" type="#_x0000_t202" style="position:absolute;left:0pt;margin-left:-4.9pt;margin-top:0.65pt;height:35.4pt;width:138.4pt;z-index:251667456;mso-width-relative:margin;mso-height-relative:margin;" fillcolor="#548DD4" filled="f" stroked="f" coordsize="21600,21600">
                  <v:path/>
                  <v:fill on="f" focussize="0,0"/>
                  <v:stroke on="f" joinstyle="miter"/>
                  <v:imagedata o:title=""/>
                  <o:lock v:ext="edit"/>
                  <v:textbox>
                    <w:txbxContent>
                      <w:p>
                        <w:pPr>
                          <w:rPr>
                            <w:rFonts w:asciiTheme="majorEastAsia" w:hAnsiTheme="majorEastAsia" w:eastAsiaTheme="majorEastAsia"/>
                            <w:sz w:val="30"/>
                            <w:szCs w:val="30"/>
                          </w:rPr>
                        </w:pPr>
                        <w:r>
                          <w:rPr>
                            <w:rFonts w:hint="eastAsia" w:asciiTheme="majorEastAsia" w:hAnsiTheme="majorEastAsia" w:eastAsiaTheme="majorEastAsia"/>
                            <w:b/>
                            <w:sz w:val="28"/>
                            <w:szCs w:val="32"/>
                          </w:rPr>
                          <w:t>3</w:t>
                        </w:r>
                        <w:r>
                          <w:rPr>
                            <w:rFonts w:hint="eastAsia" w:asciiTheme="majorEastAsia" w:hAnsiTheme="majorEastAsia" w:eastAsiaTheme="majorEastAsia"/>
                            <w:b/>
                            <w:sz w:val="28"/>
                            <w:szCs w:val="28"/>
                          </w:rPr>
                          <w:t>保单账户运作原理</w:t>
                        </w:r>
                      </w:p>
                    </w:txbxContent>
                  </v:textbox>
                </v:shape>
              </w:pict>
            </w:r>
          </w:p>
        </w:tc>
        <w:tc>
          <w:tcPr>
            <w:tcW w:w="9498" w:type="dxa"/>
            <w:vAlign w:val="bottom"/>
          </w:tcPr>
          <w:p>
            <w:pPr>
              <w:spacing w:line="400" w:lineRule="exact"/>
              <w:rPr>
                <w:rFonts w:ascii="Wingdings" w:hAnsi="Wingding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391" w:type="dxa"/>
            <w:vAlign w:val="center"/>
          </w:tcPr>
          <w:p>
            <w:pPr>
              <w:pStyle w:val="17"/>
              <w:widowControl/>
              <w:ind w:firstLine="0" w:firstLineChars="0"/>
              <w:jc w:val="left"/>
              <w:rPr>
                <w:rFonts w:ascii="Arial" w:hAnsi="Arial" w:eastAsia="华文中宋"/>
                <w:b/>
                <w:kern w:val="0"/>
                <w:sz w:val="32"/>
                <w:szCs w:val="28"/>
              </w:rPr>
            </w:pPr>
          </w:p>
        </w:tc>
        <w:tc>
          <w:tcPr>
            <w:tcW w:w="9498" w:type="dxa"/>
            <w:vAlign w:val="center"/>
          </w:tcPr>
          <w:p>
            <w:pPr>
              <w:widowControl/>
              <w:rPr>
                <w:rFonts w:asciiTheme="minorEastAsia" w:hAnsiTheme="minorEastAsia" w:eastAsiaTheme="minorEastAsia"/>
                <w:b/>
                <w:position w:val="-12"/>
                <w:szCs w:val="21"/>
              </w:rPr>
            </w:pPr>
          </w:p>
          <w:p>
            <w:pPr>
              <w:widowControl/>
              <w:rPr>
                <w:rFonts w:asciiTheme="minorEastAsia" w:hAnsiTheme="minorEastAsia" w:eastAsiaTheme="minorEastAsia"/>
                <w:b/>
                <w:position w:val="-12"/>
                <w:szCs w:val="21"/>
              </w:rPr>
            </w:pPr>
          </w:p>
          <w:p>
            <w:pPr>
              <w:widowControl/>
              <w:rPr>
                <w:rFonts w:asciiTheme="minorEastAsia" w:hAnsiTheme="minorEastAsia" w:eastAsiaTheme="minorEastAsia"/>
                <w:b/>
                <w:position w:val="-12"/>
                <w:szCs w:val="21"/>
              </w:rPr>
            </w:pPr>
          </w:p>
          <w:p>
            <w:pPr>
              <w:widowControl/>
              <w:rPr>
                <w:rFonts w:asciiTheme="minorEastAsia" w:hAnsiTheme="minorEastAsia" w:eastAsiaTheme="minorEastAsia"/>
                <w:b/>
                <w:position w:val="-12"/>
                <w:szCs w:val="21"/>
              </w:rPr>
            </w:pPr>
          </w:p>
          <w:p>
            <w:pPr>
              <w:widowControl/>
              <w:rPr>
                <w:rFonts w:asciiTheme="minorEastAsia" w:hAnsiTheme="minorEastAsia" w:eastAsiaTheme="minorEastAsia"/>
                <w:b/>
                <w:position w:val="-12"/>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 w:hRule="exact"/>
        </w:trPr>
        <w:tc>
          <w:tcPr>
            <w:tcW w:w="9889" w:type="dxa"/>
            <w:gridSpan w:val="2"/>
            <w:vAlign w:val="center"/>
          </w:tcPr>
          <w:p>
            <w:pPr>
              <w:widowControl/>
              <w:rPr>
                <w:rFonts w:ascii="宋体" w:hAnsi="宋体"/>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889" w:type="dxa"/>
            <w:gridSpan w:val="2"/>
            <w:vAlign w:val="center"/>
          </w:tcPr>
          <w:p>
            <w:pPr>
              <w:widowControl/>
              <w:rPr>
                <w:rFonts w:asciiTheme="minorEastAsia" w:hAnsiTheme="minorEastAsia" w:eastAsiaTheme="minorEastAsia"/>
                <w:position w:val="-12"/>
                <w:szCs w:val="21"/>
              </w:rPr>
            </w:pPr>
            <w:r>
              <w:rPr>
                <w:rFonts w:hint="eastAsia" w:asciiTheme="minorEastAsia" w:hAnsiTheme="minorEastAsia" w:eastAsiaTheme="minorEastAsia"/>
                <w:position w:val="-12"/>
                <w:szCs w:val="21"/>
              </w:rPr>
              <w:t>保单账户价值随着扣除初始费用后的保险费、保单利息、持续奖金计入保单账户而增加；</w:t>
            </w:r>
            <w:r>
              <w:rPr>
                <w:rFonts w:hint="eastAsia" w:ascii="黑体" w:hAnsi="黑体" w:eastAsia="黑体"/>
                <w:position w:val="-12"/>
                <w:szCs w:val="21"/>
              </w:rPr>
              <w:t>随着养老保险金的领取、保单账户价值的部分领取而减少。</w:t>
            </w:r>
          </w:p>
          <w:p>
            <w:pPr>
              <w:widowControl/>
              <w:rPr>
                <w:rFonts w:asciiTheme="minorEastAsia" w:hAnsiTheme="minorEastAsia" w:eastAsiaTheme="minorEastAsia"/>
                <w:position w:val="-12"/>
                <w:sz w:val="10"/>
                <w:szCs w:val="10"/>
              </w:rPr>
            </w:pPr>
            <w:r>
              <w:rPr>
                <w:rFonts w:asciiTheme="minorEastAsia" w:hAnsiTheme="minorEastAsia" w:eastAsiaTheme="minorEastAsia"/>
                <w:position w:val="-12"/>
                <w:sz w:val="10"/>
                <w:szCs w:val="10"/>
              </w:rPr>
              <w:drawing>
                <wp:anchor distT="0" distB="0" distL="114300" distR="114300" simplePos="0" relativeHeight="251659264" behindDoc="1" locked="0" layoutInCell="1" allowOverlap="1">
                  <wp:simplePos x="0" y="0"/>
                  <wp:positionH relativeFrom="column">
                    <wp:posOffset>220980</wp:posOffset>
                  </wp:positionH>
                  <wp:positionV relativeFrom="paragraph">
                    <wp:posOffset>48260</wp:posOffset>
                  </wp:positionV>
                  <wp:extent cx="5661660" cy="4607560"/>
                  <wp:effectExtent l="0" t="0" r="0" b="0"/>
                  <wp:wrapTight wrapText="bothSides">
                    <wp:wrapPolygon>
                      <wp:start x="2471" y="0"/>
                      <wp:lineTo x="1962" y="1429"/>
                      <wp:lineTo x="1599" y="1875"/>
                      <wp:lineTo x="1308" y="2501"/>
                      <wp:lineTo x="1308" y="3215"/>
                      <wp:lineTo x="1962" y="4287"/>
                      <wp:lineTo x="2035" y="5716"/>
                      <wp:lineTo x="1599" y="6251"/>
                      <wp:lineTo x="1236" y="6877"/>
                      <wp:lineTo x="1236" y="7412"/>
                      <wp:lineTo x="1817" y="8573"/>
                      <wp:lineTo x="2180" y="10002"/>
                      <wp:lineTo x="1744" y="10270"/>
                      <wp:lineTo x="1163" y="11074"/>
                      <wp:lineTo x="1163" y="11610"/>
                      <wp:lineTo x="1672" y="12860"/>
                      <wp:lineTo x="1599" y="14289"/>
                      <wp:lineTo x="1308" y="14914"/>
                      <wp:lineTo x="1236" y="16700"/>
                      <wp:lineTo x="2980" y="17147"/>
                      <wp:lineTo x="6323" y="17147"/>
                      <wp:lineTo x="2398" y="17772"/>
                      <wp:lineTo x="1381" y="18040"/>
                      <wp:lineTo x="1308" y="18933"/>
                      <wp:lineTo x="1308" y="20719"/>
                      <wp:lineTo x="3125" y="21165"/>
                      <wp:lineTo x="6323" y="21344"/>
                      <wp:lineTo x="15480" y="21344"/>
                      <wp:lineTo x="15480" y="17147"/>
                      <wp:lineTo x="18751" y="17147"/>
                      <wp:lineTo x="20350" y="16700"/>
                      <wp:lineTo x="20205" y="14914"/>
                      <wp:lineTo x="19914" y="14289"/>
                      <wp:lineTo x="20713" y="14289"/>
                      <wp:lineTo x="21440" y="13574"/>
                      <wp:lineTo x="21513" y="12592"/>
                      <wp:lineTo x="15480" y="11431"/>
                      <wp:lineTo x="15480" y="10002"/>
                      <wp:lineTo x="15917" y="10002"/>
                      <wp:lineTo x="19769" y="8752"/>
                      <wp:lineTo x="19914" y="8573"/>
                      <wp:lineTo x="20277" y="7412"/>
                      <wp:lineTo x="20350" y="6073"/>
                      <wp:lineTo x="19114" y="5716"/>
                      <wp:lineTo x="15480" y="5716"/>
                      <wp:lineTo x="15553" y="1340"/>
                      <wp:lineTo x="4942" y="0"/>
                      <wp:lineTo x="2471"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661660" cy="4607560"/>
                          </a:xfrm>
                          <a:prstGeom prst="rect">
                            <a:avLst/>
                          </a:prstGeom>
                          <a:noFill/>
                        </pic:spPr>
                      </pic:pic>
                    </a:graphicData>
                  </a:graphic>
                </wp:anchor>
              </w:drawing>
            </w:r>
          </w:p>
          <w:p>
            <w:pPr>
              <w:widowControl/>
              <w:rPr>
                <w:rFonts w:asciiTheme="minorEastAsia" w:hAnsiTheme="minorEastAsia" w:eastAsiaTheme="minorEastAsia"/>
                <w:position w:val="-12"/>
                <w:sz w:val="10"/>
                <w:szCs w:val="1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889" w:type="dxa"/>
            <w:gridSpan w:val="2"/>
            <w:vAlign w:val="center"/>
          </w:tcPr>
          <w:p>
            <w:pPr>
              <w:widowControl/>
              <w:rPr>
                <w:rFonts w:asciiTheme="minorEastAsia" w:hAnsiTheme="minorEastAsia" w:eastAsiaTheme="minorEastAsia"/>
                <w:b/>
              </w:rPr>
            </w:pPr>
            <w:r>
              <w:rPr>
                <w:rFonts w:hint="eastAsia" w:asciiTheme="minorEastAsia" w:hAnsiTheme="minorEastAsia" w:eastAsiaTheme="minorEastAsia"/>
                <w:b/>
              </w:rPr>
              <w:t>以上图例仅供您更好地理解产品之用，您所购买产品的具体保险利益、责任免除情形及费用收取标准在保险合同中载明。</w:t>
            </w:r>
          </w:p>
        </w:tc>
      </w:tr>
    </w:tbl>
    <w:p>
      <w:pPr>
        <w:jc w:val="center"/>
        <w:rPr>
          <w:rFonts w:ascii="Arial" w:hAnsi="Arial" w:eastAsia="华文中宋"/>
          <w:b/>
          <w:kern w:val="0"/>
          <w:sz w:val="32"/>
          <w:szCs w:val="28"/>
        </w:rPr>
      </w:pPr>
      <w:r>
        <w:rPr>
          <w:rFonts w:ascii="Arial" w:hAnsi="Arial" w:eastAsia="华文中宋"/>
          <w:b/>
          <w:kern w:val="0"/>
          <w:sz w:val="32"/>
          <w:szCs w:val="28"/>
        </w:rPr>
        <w:br w:type="page"/>
      </w:r>
      <w:r>
        <w:rPr>
          <w:rFonts w:hint="eastAsia" w:ascii="Arial" w:hAnsi="Arial" w:eastAsia="华文中宋"/>
          <w:b/>
          <w:kern w:val="0"/>
          <w:sz w:val="32"/>
          <w:szCs w:val="28"/>
        </w:rPr>
        <w:t>条款目录</w:t>
      </w:r>
    </w:p>
    <w:p>
      <w:pPr>
        <w:ind w:firstLine="1471" w:firstLineChars="700"/>
        <w:rPr>
          <w:rFonts w:ascii="宋体" w:hAnsi="宋体"/>
          <w:b/>
          <w:bCs/>
        </w:rPr>
      </w:pPr>
    </w:p>
    <w:p>
      <w:pPr>
        <w:rPr>
          <w:rFonts w:ascii="宋体" w:hAnsi="宋体"/>
        </w:rPr>
      </w:pPr>
    </w:p>
    <w:tbl>
      <w:tblPr>
        <w:tblStyle w:val="9"/>
        <w:tblW w:w="9923" w:type="dxa"/>
        <w:tblInd w:w="-34" w:type="dxa"/>
        <w:tblBorders>
          <w:top w:val="none" w:color="auto" w:sz="0" w:space="0"/>
          <w:left w:val="none" w:color="auto" w:sz="0" w:space="0"/>
          <w:bottom w:val="none" w:color="auto" w:sz="0" w:space="0"/>
          <w:right w:val="none" w:color="auto" w:sz="0" w:space="0"/>
          <w:insideH w:val="none" w:color="auto" w:sz="0" w:space="0"/>
          <w:insideV w:val="dashed" w:color="auto" w:sz="2" w:space="0"/>
        </w:tblBorders>
        <w:tblLayout w:type="fixed"/>
        <w:tblCellMar>
          <w:top w:w="0" w:type="dxa"/>
          <w:left w:w="108" w:type="dxa"/>
          <w:bottom w:w="0" w:type="dxa"/>
          <w:right w:w="108" w:type="dxa"/>
        </w:tblCellMar>
      </w:tblPr>
      <w:tblGrid>
        <w:gridCol w:w="3307"/>
        <w:gridCol w:w="3308"/>
        <w:gridCol w:w="3308"/>
      </w:tblGrid>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469" w:hRule="atLeast"/>
        </w:trPr>
        <w:tc>
          <w:tcPr>
            <w:tcW w:w="3307" w:type="dxa"/>
            <w:tcBorders>
              <w:right w:val="single" w:color="auto" w:sz="4" w:space="0"/>
            </w:tcBorders>
          </w:tcPr>
          <w:p>
            <w:pPr>
              <w:rPr>
                <w:rFonts w:ascii="宋体" w:hAnsi="宋体"/>
                <w:b/>
                <w:sz w:val="24"/>
              </w:rPr>
            </w:pPr>
            <w:r>
              <w:rPr>
                <w:rFonts w:hint="eastAsia" w:ascii="宋体" w:hAnsi="宋体"/>
                <w:b/>
              </w:rPr>
              <w:t>1.我们保多久、</w:t>
            </w:r>
            <w:r>
              <w:rPr>
                <w:rFonts w:ascii="宋体" w:hAnsi="宋体"/>
                <w:b/>
              </w:rPr>
              <w:t>保</w:t>
            </w:r>
            <w:r>
              <w:rPr>
                <w:rFonts w:hint="eastAsia" w:ascii="宋体" w:hAnsi="宋体"/>
                <w:b/>
              </w:rPr>
              <w:t>什么</w:t>
            </w:r>
          </w:p>
        </w:tc>
        <w:tc>
          <w:tcPr>
            <w:tcW w:w="3308" w:type="dxa"/>
            <w:tcBorders>
              <w:left w:val="single" w:color="auto" w:sz="4" w:space="0"/>
              <w:right w:val="single" w:color="auto" w:sz="4" w:space="0"/>
            </w:tcBorders>
          </w:tcPr>
          <w:p>
            <w:pPr>
              <w:pStyle w:val="17"/>
              <w:ind w:firstLine="0" w:firstLineChars="0"/>
              <w:rPr>
                <w:rFonts w:ascii="宋体" w:hAnsi="宋体"/>
                <w:b/>
              </w:rPr>
            </w:pPr>
            <w:r>
              <w:rPr>
                <w:rFonts w:hint="eastAsia" w:ascii="宋体" w:hAnsi="宋体"/>
                <w:b/>
              </w:rPr>
              <w:t>4.保单账户的运作管理</w:t>
            </w:r>
          </w:p>
        </w:tc>
        <w:tc>
          <w:tcPr>
            <w:tcW w:w="3308" w:type="dxa"/>
            <w:tcBorders>
              <w:left w:val="single" w:color="auto" w:sz="4" w:space="0"/>
            </w:tcBorders>
          </w:tcPr>
          <w:p>
            <w:pPr>
              <w:rPr>
                <w:rFonts w:ascii="仿宋_GB2312" w:hAnsi="宋体" w:eastAsia="仿宋_GB2312"/>
              </w:rPr>
            </w:pPr>
            <w:r>
              <w:rPr>
                <w:rFonts w:hint="eastAsia" w:ascii="宋体" w:hAnsi="宋体"/>
                <w:b/>
              </w:rPr>
              <w:t>7.合同的构成与</w:t>
            </w:r>
            <w:r>
              <w:rPr>
                <w:rFonts w:ascii="宋体" w:hAnsi="宋体"/>
                <w:b/>
              </w:rPr>
              <w:t>生效</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1.1 保险期间</w:t>
            </w:r>
          </w:p>
        </w:tc>
        <w:tc>
          <w:tcPr>
            <w:tcW w:w="3308" w:type="dxa"/>
            <w:tcBorders>
              <w:left w:val="single" w:color="auto" w:sz="4" w:space="0"/>
              <w:right w:val="single" w:color="auto" w:sz="4" w:space="0"/>
            </w:tcBorders>
          </w:tcPr>
          <w:p>
            <w:pPr>
              <w:ind w:firstLine="210" w:firstLineChars="100"/>
              <w:rPr>
                <w:rFonts w:ascii="宋体" w:hAnsi="宋体"/>
                <w:sz w:val="18"/>
              </w:rPr>
            </w:pPr>
            <w:r>
              <w:rPr>
                <w:rFonts w:hint="eastAsia" w:ascii="宋体" w:hAnsi="宋体"/>
              </w:rPr>
              <w:t>4.1 保单账户与保单账户价值</w:t>
            </w:r>
          </w:p>
        </w:tc>
        <w:tc>
          <w:tcPr>
            <w:tcW w:w="3308" w:type="dxa"/>
            <w:tcBorders>
              <w:lef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7.1 合同构成</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1.2 保险责任</w:t>
            </w:r>
          </w:p>
        </w:tc>
        <w:tc>
          <w:tcPr>
            <w:tcW w:w="3308" w:type="dxa"/>
            <w:tcBorders>
              <w:left w:val="single" w:color="auto" w:sz="4" w:space="0"/>
              <w:right w:val="single" w:color="auto" w:sz="4" w:space="0"/>
            </w:tcBorders>
          </w:tcPr>
          <w:p>
            <w:pPr>
              <w:ind w:firstLine="210" w:firstLineChars="100"/>
              <w:rPr>
                <w:rFonts w:ascii="宋体" w:hAnsi="宋体"/>
                <w:sz w:val="18"/>
              </w:rPr>
            </w:pPr>
            <w:r>
              <w:rPr>
                <w:rFonts w:hint="eastAsia" w:ascii="宋体" w:hAnsi="宋体"/>
              </w:rPr>
              <w:t>4.2 保单账户结算</w:t>
            </w:r>
          </w:p>
        </w:tc>
        <w:tc>
          <w:tcPr>
            <w:tcW w:w="3308" w:type="dxa"/>
            <w:tcBorders>
              <w:lef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7.2 合同成立与生效</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Theme="minorEastAsia" w:hAnsiTheme="minorEastAsia" w:eastAsiaTheme="minorEastAsia"/>
              </w:rPr>
            </w:pPr>
          </w:p>
        </w:tc>
        <w:tc>
          <w:tcPr>
            <w:tcW w:w="3308" w:type="dxa"/>
            <w:tcBorders>
              <w:left w:val="single" w:color="auto" w:sz="4" w:space="0"/>
              <w:right w:val="single" w:color="auto" w:sz="4" w:space="0"/>
            </w:tcBorders>
          </w:tcPr>
          <w:p>
            <w:pPr>
              <w:ind w:firstLine="210" w:firstLineChars="100"/>
              <w:rPr>
                <w:rFonts w:ascii="宋体" w:hAnsi="宋体"/>
                <w:sz w:val="18"/>
              </w:rPr>
            </w:pPr>
            <w:r>
              <w:rPr>
                <w:rFonts w:hint="eastAsia" w:ascii="宋体" w:hAnsi="宋体"/>
              </w:rPr>
              <w:t>4.3 持续奖金</w:t>
            </w:r>
          </w:p>
        </w:tc>
        <w:tc>
          <w:tcPr>
            <w:tcW w:w="3308" w:type="dxa"/>
            <w:tcBorders>
              <w:left w:val="single" w:color="auto" w:sz="4" w:space="0"/>
            </w:tcBorders>
          </w:tcPr>
          <w:p>
            <w:pPr>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Theme="minorEastAsia" w:hAnsiTheme="minorEastAsia" w:eastAsiaTheme="minorEastAsia"/>
              </w:rPr>
            </w:pPr>
          </w:p>
        </w:tc>
        <w:tc>
          <w:tcPr>
            <w:tcW w:w="3308" w:type="dxa"/>
            <w:tcBorders>
              <w:left w:val="single" w:color="auto" w:sz="4" w:space="0"/>
              <w:right w:val="single" w:color="auto" w:sz="4" w:space="0"/>
            </w:tcBorders>
          </w:tcPr>
          <w:p>
            <w:pPr>
              <w:ind w:firstLine="210" w:firstLineChars="100"/>
              <w:rPr>
                <w:rFonts w:ascii="宋体" w:hAnsi="宋体"/>
              </w:rPr>
            </w:pPr>
            <w:r>
              <w:rPr>
                <w:rFonts w:hint="eastAsia" w:ascii="宋体" w:hAnsi="宋体"/>
              </w:rPr>
              <w:t>4.</w:t>
            </w:r>
            <w:r>
              <w:rPr>
                <w:rFonts w:ascii="宋体" w:hAnsi="宋体"/>
              </w:rPr>
              <w:t>4</w:t>
            </w:r>
            <w:r>
              <w:rPr>
                <w:rFonts w:hint="eastAsia" w:ascii="宋体" w:hAnsi="宋体"/>
              </w:rPr>
              <w:t xml:space="preserve"> 费用收取</w:t>
            </w:r>
          </w:p>
        </w:tc>
        <w:tc>
          <w:tcPr>
            <w:tcW w:w="3308" w:type="dxa"/>
            <w:tcBorders>
              <w:left w:val="single" w:color="auto" w:sz="4" w:space="0"/>
            </w:tcBorders>
          </w:tcPr>
          <w:p>
            <w:pPr>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Theme="minorEastAsia" w:hAnsiTheme="minorEastAsia" w:eastAsiaTheme="minorEastAsia"/>
              </w:rPr>
            </w:pPr>
          </w:p>
        </w:tc>
        <w:tc>
          <w:tcPr>
            <w:tcW w:w="3308" w:type="dxa"/>
            <w:tcBorders>
              <w:left w:val="single" w:color="auto" w:sz="4" w:space="0"/>
              <w:right w:val="single" w:color="auto" w:sz="4" w:space="0"/>
            </w:tcBorders>
          </w:tcPr>
          <w:p>
            <w:pPr>
              <w:ind w:firstLine="210" w:firstLineChars="100"/>
              <w:rPr>
                <w:rFonts w:ascii="宋体" w:hAnsi="宋体"/>
              </w:rPr>
            </w:pPr>
            <w:r>
              <w:rPr>
                <w:rFonts w:hint="eastAsia" w:ascii="宋体" w:hAnsi="宋体"/>
              </w:rPr>
              <w:t>4.</w:t>
            </w:r>
            <w:r>
              <w:rPr>
                <w:rFonts w:ascii="宋体" w:hAnsi="宋体"/>
              </w:rPr>
              <w:t>5</w:t>
            </w:r>
            <w:r>
              <w:rPr>
                <w:rFonts w:hint="eastAsia" w:ascii="宋体" w:hAnsi="宋体"/>
              </w:rPr>
              <w:t xml:space="preserve"> 保单账户价值的部分领取</w:t>
            </w:r>
          </w:p>
        </w:tc>
        <w:tc>
          <w:tcPr>
            <w:tcW w:w="3308" w:type="dxa"/>
            <w:tcBorders>
              <w:left w:val="single" w:color="auto" w:sz="4" w:space="0"/>
            </w:tcBorders>
          </w:tcPr>
          <w:p>
            <w:pPr>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Theme="minorEastAsia" w:hAnsiTheme="minorEastAsia" w:eastAsiaTheme="minorEastAsia"/>
              </w:rPr>
            </w:pPr>
          </w:p>
        </w:tc>
        <w:tc>
          <w:tcPr>
            <w:tcW w:w="3308" w:type="dxa"/>
            <w:tcBorders>
              <w:left w:val="single" w:color="auto" w:sz="4" w:space="0"/>
              <w:right w:val="single" w:color="auto" w:sz="4" w:space="0"/>
            </w:tcBorders>
          </w:tcPr>
          <w:p>
            <w:pPr>
              <w:ind w:firstLine="210" w:firstLineChars="100"/>
              <w:rPr>
                <w:rFonts w:ascii="宋体" w:hAnsi="宋体"/>
                <w:sz w:val="18"/>
              </w:rPr>
            </w:pPr>
            <w:r>
              <w:rPr>
                <w:rFonts w:hint="eastAsia" w:ascii="宋体" w:hAnsi="宋体"/>
              </w:rPr>
              <w:t>4.</w:t>
            </w:r>
            <w:r>
              <w:rPr>
                <w:rFonts w:ascii="宋体" w:hAnsi="宋体"/>
              </w:rPr>
              <w:t>6</w:t>
            </w:r>
            <w:r>
              <w:rPr>
                <w:rFonts w:hint="eastAsia" w:ascii="宋体" w:hAnsi="宋体"/>
              </w:rPr>
              <w:t xml:space="preserve"> 现金价值</w:t>
            </w:r>
          </w:p>
        </w:tc>
        <w:tc>
          <w:tcPr>
            <w:tcW w:w="3308" w:type="dxa"/>
            <w:tcBorders>
              <w:left w:val="single" w:color="auto" w:sz="4" w:space="0"/>
            </w:tcBorders>
          </w:tcPr>
          <w:p>
            <w:pPr>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宋体" w:hAnsi="宋体"/>
                <w:b/>
                <w:u w:val="single"/>
              </w:rPr>
            </w:pPr>
          </w:p>
        </w:tc>
        <w:tc>
          <w:tcPr>
            <w:tcW w:w="3308" w:type="dxa"/>
            <w:tcBorders>
              <w:left w:val="single" w:color="auto" w:sz="4" w:space="0"/>
              <w:right w:val="single" w:color="auto" w:sz="4" w:space="0"/>
            </w:tcBorders>
          </w:tcPr>
          <w:p>
            <w:pPr>
              <w:ind w:firstLine="210" w:firstLineChars="100"/>
              <w:rPr>
                <w:rFonts w:ascii="宋体" w:hAnsi="宋体"/>
                <w:b/>
              </w:rPr>
            </w:pPr>
            <w:r>
              <w:rPr>
                <w:rFonts w:hint="eastAsia" w:ascii="宋体" w:hAnsi="宋体"/>
              </w:rPr>
              <w:t>4.</w:t>
            </w:r>
            <w:r>
              <w:rPr>
                <w:rFonts w:ascii="宋体" w:hAnsi="宋体"/>
              </w:rPr>
              <w:t>7</w:t>
            </w:r>
            <w:r>
              <w:rPr>
                <w:rFonts w:hint="eastAsia" w:ascii="宋体" w:hAnsi="宋体"/>
              </w:rPr>
              <w:t xml:space="preserve"> 保单贷款</w:t>
            </w:r>
          </w:p>
        </w:tc>
        <w:tc>
          <w:tcPr>
            <w:tcW w:w="3308" w:type="dxa"/>
            <w:tcBorders>
              <w:left w:val="single" w:color="auto" w:sz="4" w:space="0"/>
            </w:tcBorders>
          </w:tcPr>
          <w:p>
            <w:pPr>
              <w:rPr>
                <w:rFonts w:ascii="宋体" w:hAnsi="宋体"/>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宋体" w:hAnsi="宋体"/>
                <w:b/>
                <w:u w:val="single"/>
              </w:rPr>
            </w:pPr>
          </w:p>
        </w:tc>
        <w:tc>
          <w:tcPr>
            <w:tcW w:w="3308" w:type="dxa"/>
            <w:tcBorders>
              <w:left w:val="single" w:color="auto" w:sz="4" w:space="0"/>
              <w:right w:val="single" w:color="auto" w:sz="4" w:space="0"/>
            </w:tcBorders>
          </w:tcPr>
          <w:p>
            <w:pPr>
              <w:ind w:firstLine="210" w:firstLineChars="100"/>
              <w:rPr>
                <w:rFonts w:ascii="宋体" w:hAnsi="宋体"/>
                <w:b/>
              </w:rPr>
            </w:pPr>
          </w:p>
        </w:tc>
        <w:tc>
          <w:tcPr>
            <w:tcW w:w="3308" w:type="dxa"/>
            <w:tcBorders>
              <w:left w:val="single" w:color="auto" w:sz="4" w:space="0"/>
            </w:tcBorders>
          </w:tcPr>
          <w:p>
            <w:pPr>
              <w:rPr>
                <w:rFonts w:ascii="宋体" w:hAnsi="宋体"/>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宋体" w:hAnsi="宋体"/>
                <w:b/>
                <w:u w:val="single"/>
              </w:rPr>
            </w:pPr>
          </w:p>
        </w:tc>
        <w:tc>
          <w:tcPr>
            <w:tcW w:w="3308" w:type="dxa"/>
            <w:tcBorders>
              <w:left w:val="single" w:color="auto" w:sz="4" w:space="0"/>
              <w:right w:val="single" w:color="auto" w:sz="4" w:space="0"/>
            </w:tcBorders>
          </w:tcPr>
          <w:p>
            <w:pPr>
              <w:rPr>
                <w:rFonts w:ascii="宋体" w:hAnsi="宋体"/>
                <w:b/>
              </w:rPr>
            </w:pPr>
          </w:p>
        </w:tc>
        <w:tc>
          <w:tcPr>
            <w:tcW w:w="3308" w:type="dxa"/>
            <w:tcBorders>
              <w:left w:val="single" w:color="auto" w:sz="4" w:space="0"/>
            </w:tcBorders>
          </w:tcPr>
          <w:p>
            <w:pPr>
              <w:rPr>
                <w:rFonts w:ascii="宋体" w:hAnsi="宋体"/>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471" w:hRule="atLeast"/>
        </w:trPr>
        <w:tc>
          <w:tcPr>
            <w:tcW w:w="3307" w:type="dxa"/>
            <w:tcBorders>
              <w:right w:val="single" w:color="auto" w:sz="4" w:space="0"/>
            </w:tcBorders>
          </w:tcPr>
          <w:p>
            <w:pPr>
              <w:rPr>
                <w:rFonts w:ascii="宋体" w:hAnsi="宋体"/>
                <w:b/>
                <w:u w:val="single"/>
              </w:rPr>
            </w:pPr>
            <w:r>
              <w:rPr>
                <w:rFonts w:ascii="宋体" w:hAnsi="宋体"/>
                <w:b/>
              </w:rPr>
              <w:t>2</w:t>
            </w:r>
            <w:r>
              <w:rPr>
                <w:rFonts w:hint="eastAsia" w:ascii="宋体" w:hAnsi="宋体"/>
                <w:b/>
              </w:rPr>
              <w:t>.什么情况我们不赔</w:t>
            </w:r>
          </w:p>
        </w:tc>
        <w:tc>
          <w:tcPr>
            <w:tcW w:w="3308" w:type="dxa"/>
            <w:tcBorders>
              <w:left w:val="single" w:color="auto" w:sz="4" w:space="0"/>
              <w:right w:val="single" w:color="auto" w:sz="4" w:space="0"/>
            </w:tcBorders>
          </w:tcPr>
          <w:p>
            <w:pPr>
              <w:rPr>
                <w:rFonts w:ascii="仿宋_GB2312" w:hAnsi="宋体" w:eastAsia="仿宋_GB2312"/>
              </w:rPr>
            </w:pPr>
            <w:r>
              <w:rPr>
                <w:rFonts w:hint="eastAsia" w:ascii="宋体" w:hAnsi="宋体"/>
                <w:b/>
              </w:rPr>
              <w:t>5.</w:t>
            </w:r>
            <w:r>
              <w:rPr>
                <w:rFonts w:ascii="宋体" w:hAnsi="宋体"/>
                <w:b/>
              </w:rPr>
              <w:t>如何领取保险金</w:t>
            </w:r>
          </w:p>
        </w:tc>
        <w:tc>
          <w:tcPr>
            <w:tcW w:w="3308" w:type="dxa"/>
            <w:tcBorders>
              <w:left w:val="single" w:color="auto" w:sz="4" w:space="0"/>
            </w:tcBorders>
          </w:tcPr>
          <w:p>
            <w:pPr>
              <w:rPr>
                <w:rFonts w:ascii="仿宋_GB2312" w:hAnsi="宋体" w:eastAsia="仿宋_GB2312"/>
              </w:rPr>
            </w:pPr>
            <w:r>
              <w:rPr>
                <w:rFonts w:hint="eastAsia" w:ascii="宋体" w:hAnsi="宋体"/>
                <w:b/>
              </w:rPr>
              <w:t>8.需关注</w:t>
            </w:r>
            <w:r>
              <w:rPr>
                <w:rFonts w:ascii="宋体" w:hAnsi="宋体"/>
                <w:b/>
              </w:rPr>
              <w:t>的其他事项</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2.1 责任免除</w:t>
            </w:r>
          </w:p>
        </w:tc>
        <w:tc>
          <w:tcPr>
            <w:tcW w:w="3308" w:type="dxa"/>
            <w:tcBorders>
              <w:left w:val="single" w:color="auto" w:sz="4" w:space="0"/>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5.1 受益人</w:t>
            </w:r>
          </w:p>
        </w:tc>
        <w:tc>
          <w:tcPr>
            <w:tcW w:w="3308" w:type="dxa"/>
            <w:tcBorders>
              <w:lef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8.1 明确说明与如实告知</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Theme="minorEastAsia" w:hAnsiTheme="minorEastAsia" w:eastAsiaTheme="minorEastAsia"/>
                <w:b/>
              </w:rPr>
            </w:pPr>
            <w:r>
              <w:rPr>
                <w:rFonts w:hint="eastAsia" w:asciiTheme="minorEastAsia" w:hAnsiTheme="minorEastAsia" w:eastAsiaTheme="minorEastAsia"/>
                <w:b/>
              </w:rPr>
              <w:t xml:space="preserve"> </w:t>
            </w:r>
            <w:r>
              <w:rPr>
                <w:rFonts w:asciiTheme="minorEastAsia" w:hAnsiTheme="minorEastAsia" w:eastAsiaTheme="minorEastAsia"/>
                <w:b/>
              </w:rPr>
              <w:t xml:space="preserve"> </w:t>
            </w:r>
            <w:r>
              <w:rPr>
                <w:rFonts w:asciiTheme="minorEastAsia" w:hAnsiTheme="minorEastAsia" w:eastAsiaTheme="minorEastAsia"/>
              </w:rPr>
              <w:t xml:space="preserve">2.2 </w:t>
            </w:r>
            <w:r>
              <w:rPr>
                <w:rFonts w:hint="eastAsia" w:asciiTheme="minorEastAsia" w:hAnsiTheme="minorEastAsia" w:eastAsiaTheme="minorEastAsia"/>
              </w:rPr>
              <w:t>其他免责条款</w:t>
            </w:r>
          </w:p>
        </w:tc>
        <w:tc>
          <w:tcPr>
            <w:tcW w:w="3308" w:type="dxa"/>
            <w:tcBorders>
              <w:left w:val="single" w:color="auto" w:sz="4" w:space="0"/>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5.2 保险事故通知</w:t>
            </w:r>
          </w:p>
        </w:tc>
        <w:tc>
          <w:tcPr>
            <w:tcW w:w="3308" w:type="dxa"/>
            <w:tcBorders>
              <w:lef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8.</w:t>
            </w:r>
            <w:r>
              <w:rPr>
                <w:rFonts w:asciiTheme="minorEastAsia" w:hAnsiTheme="minorEastAsia" w:eastAsiaTheme="minorEastAsia"/>
              </w:rPr>
              <w:t xml:space="preserve">2 </w:t>
            </w:r>
            <w:r>
              <w:rPr>
                <w:rFonts w:hint="eastAsia" w:asciiTheme="minorEastAsia" w:hAnsiTheme="minorEastAsia" w:eastAsiaTheme="minorEastAsia"/>
              </w:rPr>
              <w:t>本公司合同解除权的限制</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rPr>
                <w:rFonts w:ascii="宋体" w:hAnsi="宋体"/>
                <w:b/>
              </w:rPr>
            </w:pPr>
          </w:p>
        </w:tc>
        <w:tc>
          <w:tcPr>
            <w:tcW w:w="3308" w:type="dxa"/>
            <w:tcBorders>
              <w:left w:val="single" w:color="auto" w:sz="4" w:space="0"/>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5.3 保险金申请</w:t>
            </w:r>
          </w:p>
        </w:tc>
        <w:tc>
          <w:tcPr>
            <w:tcW w:w="3308" w:type="dxa"/>
            <w:tcBorders>
              <w:lef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8.</w:t>
            </w:r>
            <w:r>
              <w:rPr>
                <w:rFonts w:asciiTheme="minorEastAsia" w:hAnsiTheme="minorEastAsia" w:eastAsiaTheme="minorEastAsia"/>
              </w:rPr>
              <w:t>3</w:t>
            </w:r>
            <w:r>
              <w:rPr>
                <w:rFonts w:hint="eastAsia" w:asciiTheme="minorEastAsia" w:hAnsiTheme="minorEastAsia" w:eastAsiaTheme="minorEastAsia"/>
              </w:rPr>
              <w:t xml:space="preserve"> 投保范围</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pStyle w:val="17"/>
              <w:ind w:firstLine="0" w:firstLineChars="0"/>
              <w:rPr>
                <w:rFonts w:ascii="宋体" w:hAnsi="宋体"/>
                <w:b/>
              </w:rPr>
            </w:pPr>
          </w:p>
        </w:tc>
        <w:tc>
          <w:tcPr>
            <w:tcW w:w="3308" w:type="dxa"/>
            <w:tcBorders>
              <w:left w:val="single" w:color="auto" w:sz="4" w:space="0"/>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5.4 保险金给付</w:t>
            </w:r>
          </w:p>
        </w:tc>
        <w:tc>
          <w:tcPr>
            <w:tcW w:w="3308" w:type="dxa"/>
            <w:tcBorders>
              <w:left w:val="single" w:color="auto" w:sz="4" w:space="0"/>
            </w:tcBorders>
          </w:tcPr>
          <w:p>
            <w:pPr>
              <w:ind w:left="210"/>
              <w:rPr>
                <w:rFonts w:asciiTheme="minorEastAsia" w:hAnsiTheme="minorEastAsia" w:eastAsiaTheme="minorEastAsia"/>
              </w:rPr>
            </w:pPr>
            <w:r>
              <w:rPr>
                <w:rFonts w:hint="eastAsia" w:asciiTheme="minorEastAsia" w:hAnsiTheme="minorEastAsia" w:eastAsiaTheme="minorEastAsia"/>
              </w:rPr>
              <w:t>8.</w:t>
            </w:r>
            <w:r>
              <w:rPr>
                <w:rFonts w:asciiTheme="minorEastAsia" w:hAnsiTheme="minorEastAsia" w:eastAsiaTheme="minorEastAsia"/>
              </w:rPr>
              <w:t>4</w:t>
            </w:r>
            <w:r>
              <w:rPr>
                <w:rFonts w:hint="eastAsia" w:asciiTheme="minorEastAsia" w:hAnsiTheme="minorEastAsia" w:eastAsiaTheme="minorEastAsia"/>
              </w:rPr>
              <w:t xml:space="preserve"> 年龄性别错误的处理</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pStyle w:val="17"/>
              <w:ind w:firstLine="0" w:firstLineChars="0"/>
              <w:rPr>
                <w:rFonts w:ascii="宋体" w:hAnsi="宋体"/>
                <w:sz w:val="18"/>
              </w:rPr>
            </w:pPr>
          </w:p>
        </w:tc>
        <w:tc>
          <w:tcPr>
            <w:tcW w:w="3308" w:type="dxa"/>
            <w:tcBorders>
              <w:left w:val="single" w:color="auto" w:sz="4" w:space="0"/>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5</w:t>
            </w:r>
            <w:r>
              <w:rPr>
                <w:rFonts w:asciiTheme="minorEastAsia" w:hAnsiTheme="minorEastAsia" w:eastAsiaTheme="minorEastAsia"/>
              </w:rPr>
              <w:t xml:space="preserve">.5 </w:t>
            </w:r>
            <w:r>
              <w:rPr>
                <w:rFonts w:hint="eastAsia" w:asciiTheme="minorEastAsia" w:hAnsiTheme="minorEastAsia" w:eastAsiaTheme="minorEastAsia"/>
              </w:rPr>
              <w:t>宣告死亡处理</w:t>
            </w:r>
          </w:p>
        </w:tc>
        <w:tc>
          <w:tcPr>
            <w:tcW w:w="3308" w:type="dxa"/>
            <w:tcBorders>
              <w:left w:val="single" w:color="auto" w:sz="4" w:space="0"/>
            </w:tcBorders>
          </w:tcPr>
          <w:p>
            <w:pPr>
              <w:ind w:left="210"/>
              <w:rPr>
                <w:rFonts w:asciiTheme="minorEastAsia" w:hAnsiTheme="minorEastAsia" w:eastAsiaTheme="minorEastAsia"/>
              </w:rPr>
            </w:pPr>
            <w:r>
              <w:rPr>
                <w:rFonts w:hint="eastAsia" w:asciiTheme="minorEastAsia" w:hAnsiTheme="minorEastAsia" w:eastAsiaTheme="minorEastAsia"/>
              </w:rPr>
              <w:t>8.</w:t>
            </w:r>
            <w:r>
              <w:rPr>
                <w:rFonts w:asciiTheme="minorEastAsia" w:hAnsiTheme="minorEastAsia" w:eastAsiaTheme="minorEastAsia"/>
              </w:rPr>
              <w:t>5</w:t>
            </w:r>
            <w:r>
              <w:rPr>
                <w:rFonts w:hint="eastAsia" w:asciiTheme="minorEastAsia" w:hAnsiTheme="minorEastAsia" w:eastAsiaTheme="minorEastAsia"/>
              </w:rPr>
              <w:t xml:space="preserve"> 未还款项</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pStyle w:val="17"/>
              <w:ind w:firstLine="0" w:firstLineChars="0"/>
              <w:rPr>
                <w:rFonts w:ascii="宋体" w:hAnsi="宋体"/>
                <w:sz w:val="18"/>
              </w:rPr>
            </w:pPr>
          </w:p>
        </w:tc>
        <w:tc>
          <w:tcPr>
            <w:tcW w:w="3308" w:type="dxa"/>
            <w:tcBorders>
              <w:left w:val="single" w:color="auto" w:sz="4" w:space="0"/>
              <w:right w:val="single" w:color="auto" w:sz="4" w:space="0"/>
            </w:tcBorders>
          </w:tcPr>
          <w:p>
            <w:pPr>
              <w:ind w:firstLine="210" w:firstLineChars="100"/>
              <w:rPr>
                <w:rFonts w:asciiTheme="minorEastAsia" w:hAnsiTheme="minorEastAsia" w:eastAsiaTheme="minorEastAsia"/>
              </w:rPr>
            </w:pPr>
          </w:p>
        </w:tc>
        <w:tc>
          <w:tcPr>
            <w:tcW w:w="3308" w:type="dxa"/>
            <w:tcBorders>
              <w:left w:val="single" w:color="auto" w:sz="4" w:space="0"/>
            </w:tcBorders>
          </w:tcPr>
          <w:p>
            <w:pPr>
              <w:ind w:left="210"/>
              <w:rPr>
                <w:rFonts w:asciiTheme="minorEastAsia" w:hAnsiTheme="minorEastAsia" w:eastAsiaTheme="minorEastAsia"/>
              </w:rPr>
            </w:pPr>
            <w:r>
              <w:rPr>
                <w:rFonts w:hint="eastAsia" w:ascii="宋体" w:hAnsi="宋体"/>
              </w:rPr>
              <w:t>8.</w:t>
            </w:r>
            <w:r>
              <w:rPr>
                <w:rFonts w:ascii="宋体" w:hAnsi="宋体"/>
              </w:rPr>
              <w:t>6</w:t>
            </w:r>
            <w:r>
              <w:rPr>
                <w:rFonts w:hint="eastAsia" w:ascii="宋体" w:hAnsi="宋体"/>
              </w:rPr>
              <w:t xml:space="preserve"> 合同内容变更</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pStyle w:val="17"/>
              <w:ind w:firstLine="0" w:firstLineChars="0"/>
              <w:rPr>
                <w:rFonts w:ascii="宋体" w:hAnsi="宋体"/>
                <w:sz w:val="18"/>
              </w:rPr>
            </w:pPr>
          </w:p>
        </w:tc>
        <w:tc>
          <w:tcPr>
            <w:tcW w:w="3308" w:type="dxa"/>
            <w:tcBorders>
              <w:left w:val="single" w:color="auto" w:sz="4" w:space="0"/>
              <w:right w:val="single" w:color="auto" w:sz="4" w:space="0"/>
            </w:tcBorders>
          </w:tcPr>
          <w:p>
            <w:pPr>
              <w:rPr>
                <w:rFonts w:ascii="宋体" w:hAnsi="宋体"/>
                <w:b/>
              </w:rPr>
            </w:pPr>
          </w:p>
        </w:tc>
        <w:tc>
          <w:tcPr>
            <w:tcW w:w="3308" w:type="dxa"/>
            <w:tcBorders>
              <w:left w:val="single" w:color="auto" w:sz="4" w:space="0"/>
            </w:tcBorders>
          </w:tcPr>
          <w:p>
            <w:pPr>
              <w:ind w:firstLine="210" w:firstLineChars="100"/>
              <w:rPr>
                <w:rFonts w:asciiTheme="minorEastAsia" w:hAnsiTheme="minorEastAsia" w:eastAsiaTheme="minorEastAsia"/>
              </w:rPr>
            </w:pPr>
            <w:r>
              <w:rPr>
                <w:rFonts w:hint="eastAsia" w:ascii="宋体" w:hAnsi="宋体"/>
              </w:rPr>
              <w:t>8.</w:t>
            </w:r>
            <w:r>
              <w:rPr>
                <w:rFonts w:ascii="宋体" w:hAnsi="宋体"/>
              </w:rPr>
              <w:t xml:space="preserve">7 </w:t>
            </w:r>
            <w:r>
              <w:rPr>
                <w:rFonts w:hint="eastAsia" w:ascii="宋体" w:hAnsi="宋体"/>
              </w:rPr>
              <w:t>联系方式变更</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pStyle w:val="17"/>
              <w:ind w:firstLine="0" w:firstLineChars="0"/>
              <w:rPr>
                <w:rFonts w:ascii="宋体" w:hAnsi="宋体"/>
                <w:sz w:val="18"/>
              </w:rPr>
            </w:pPr>
          </w:p>
        </w:tc>
        <w:tc>
          <w:tcPr>
            <w:tcW w:w="3308" w:type="dxa"/>
            <w:tcBorders>
              <w:left w:val="single" w:color="auto" w:sz="4" w:space="0"/>
              <w:right w:val="single" w:color="auto" w:sz="4" w:space="0"/>
            </w:tcBorders>
          </w:tcPr>
          <w:p>
            <w:pPr>
              <w:rPr>
                <w:rFonts w:ascii="宋体" w:hAnsi="宋体"/>
                <w:b/>
              </w:rPr>
            </w:pPr>
          </w:p>
        </w:tc>
        <w:tc>
          <w:tcPr>
            <w:tcW w:w="3308" w:type="dxa"/>
            <w:tcBorders>
              <w:left w:val="single" w:color="auto" w:sz="4" w:space="0"/>
            </w:tcBorders>
          </w:tcPr>
          <w:p>
            <w:pPr>
              <w:ind w:firstLine="210" w:firstLineChars="100"/>
              <w:rPr>
                <w:rFonts w:asciiTheme="minorEastAsia" w:hAnsiTheme="minorEastAsia" w:eastAsiaTheme="minorEastAsia"/>
              </w:rPr>
            </w:pPr>
            <w:r>
              <w:rPr>
                <w:rFonts w:hint="eastAsia" w:ascii="宋体" w:hAnsi="宋体"/>
              </w:rPr>
              <w:t>8.</w:t>
            </w:r>
            <w:r>
              <w:rPr>
                <w:rFonts w:ascii="宋体" w:hAnsi="宋体"/>
              </w:rPr>
              <w:t>8</w:t>
            </w:r>
            <w:r>
              <w:rPr>
                <w:rFonts w:hint="eastAsia" w:ascii="宋体" w:hAnsi="宋体"/>
              </w:rPr>
              <w:t xml:space="preserve"> 争议处理</w:t>
            </w: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pStyle w:val="17"/>
              <w:ind w:firstLine="0" w:firstLineChars="0"/>
              <w:rPr>
                <w:rFonts w:ascii="宋体" w:hAnsi="宋体"/>
                <w:sz w:val="18"/>
              </w:rPr>
            </w:pPr>
          </w:p>
        </w:tc>
        <w:tc>
          <w:tcPr>
            <w:tcW w:w="3308" w:type="dxa"/>
            <w:tcBorders>
              <w:left w:val="single" w:color="auto" w:sz="4" w:space="0"/>
              <w:right w:val="single" w:color="auto" w:sz="4" w:space="0"/>
            </w:tcBorders>
          </w:tcPr>
          <w:p>
            <w:pPr>
              <w:rPr>
                <w:rFonts w:ascii="宋体" w:hAnsi="宋体"/>
                <w:b/>
              </w:rPr>
            </w:pPr>
          </w:p>
        </w:tc>
        <w:tc>
          <w:tcPr>
            <w:tcW w:w="3308" w:type="dxa"/>
            <w:tcBorders>
              <w:left w:val="single" w:color="auto" w:sz="4" w:space="0"/>
            </w:tcBorders>
          </w:tcPr>
          <w:p>
            <w:pPr>
              <w:ind w:firstLine="210" w:firstLineChars="100"/>
              <w:rPr>
                <w:rFonts w:ascii="宋体" w:hAnsi="宋体"/>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471" w:hRule="atLeast"/>
        </w:trPr>
        <w:tc>
          <w:tcPr>
            <w:tcW w:w="3307" w:type="dxa"/>
            <w:tcBorders>
              <w:right w:val="single" w:color="auto" w:sz="4" w:space="0"/>
            </w:tcBorders>
          </w:tcPr>
          <w:p>
            <w:pPr>
              <w:pStyle w:val="17"/>
              <w:ind w:firstLine="0" w:firstLineChars="0"/>
              <w:rPr>
                <w:rFonts w:ascii="宋体" w:hAnsi="宋体"/>
                <w:b/>
              </w:rPr>
            </w:pPr>
            <w:r>
              <w:rPr>
                <w:rFonts w:hint="eastAsia" w:ascii="宋体" w:hAnsi="宋体"/>
                <w:b/>
              </w:rPr>
              <w:t>3.如何支付保险费</w:t>
            </w:r>
          </w:p>
        </w:tc>
        <w:tc>
          <w:tcPr>
            <w:tcW w:w="3308" w:type="dxa"/>
            <w:tcBorders>
              <w:left w:val="single" w:color="auto" w:sz="4" w:space="0"/>
              <w:right w:val="single" w:color="auto" w:sz="4" w:space="0"/>
            </w:tcBorders>
          </w:tcPr>
          <w:p>
            <w:pPr>
              <w:rPr>
                <w:rFonts w:ascii="仿宋_GB2312" w:hAnsi="宋体" w:eastAsia="仿宋_GB2312"/>
              </w:rPr>
            </w:pPr>
            <w:r>
              <w:rPr>
                <w:rFonts w:hint="eastAsia" w:ascii="宋体" w:hAnsi="宋体"/>
                <w:b/>
              </w:rPr>
              <w:t>6.</w:t>
            </w:r>
            <w:r>
              <w:rPr>
                <w:rFonts w:ascii="宋体" w:hAnsi="宋体"/>
                <w:b/>
              </w:rPr>
              <w:t>如何退保</w:t>
            </w:r>
          </w:p>
        </w:tc>
        <w:tc>
          <w:tcPr>
            <w:tcW w:w="3308" w:type="dxa"/>
            <w:tcBorders>
              <w:left w:val="single" w:color="auto" w:sz="4" w:space="0"/>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宋体" w:hAnsi="宋体"/>
                <w:sz w:val="18"/>
              </w:rPr>
            </w:pPr>
            <w:r>
              <w:rPr>
                <w:rFonts w:hint="eastAsia" w:ascii="宋体" w:hAnsi="宋体"/>
              </w:rPr>
              <w:t>3.1 保险费的支付</w:t>
            </w:r>
          </w:p>
        </w:tc>
        <w:tc>
          <w:tcPr>
            <w:tcW w:w="3308" w:type="dxa"/>
            <w:tcBorders>
              <w:left w:val="single" w:color="auto" w:sz="4" w:space="0"/>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6.1 犹豫期</w:t>
            </w:r>
          </w:p>
        </w:tc>
        <w:tc>
          <w:tcPr>
            <w:tcW w:w="3308" w:type="dxa"/>
            <w:tcBorders>
              <w:left w:val="single" w:color="auto" w:sz="4" w:space="0"/>
            </w:tcBorders>
          </w:tcPr>
          <w:p>
            <w:pPr>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宋体" w:hAnsi="宋体"/>
                <w:sz w:val="18"/>
              </w:rPr>
            </w:pPr>
            <w:r>
              <w:rPr>
                <w:rFonts w:hint="eastAsia" w:ascii="宋体" w:hAnsi="宋体"/>
              </w:rPr>
              <w:t>3.</w:t>
            </w:r>
            <w:r>
              <w:rPr>
                <w:rFonts w:ascii="宋体" w:hAnsi="宋体"/>
              </w:rPr>
              <w:t>2</w:t>
            </w:r>
            <w:r>
              <w:rPr>
                <w:rFonts w:hint="eastAsia" w:ascii="宋体" w:hAnsi="宋体"/>
              </w:rPr>
              <w:t xml:space="preserve"> 效力中止与恢复</w:t>
            </w:r>
          </w:p>
        </w:tc>
        <w:tc>
          <w:tcPr>
            <w:tcW w:w="3308" w:type="dxa"/>
            <w:tcBorders>
              <w:left w:val="single" w:color="auto" w:sz="4" w:space="0"/>
              <w:right w:val="single" w:color="auto" w:sz="4" w:space="0"/>
            </w:tcBorders>
          </w:tcPr>
          <w:p>
            <w:pPr>
              <w:ind w:firstLine="210" w:firstLineChars="100"/>
              <w:rPr>
                <w:rFonts w:asciiTheme="minorEastAsia" w:hAnsiTheme="minorEastAsia" w:eastAsiaTheme="minorEastAsia"/>
              </w:rPr>
            </w:pPr>
            <w:r>
              <w:rPr>
                <w:rFonts w:hint="eastAsia" w:asciiTheme="minorEastAsia" w:hAnsiTheme="minorEastAsia" w:eastAsiaTheme="minorEastAsia"/>
              </w:rPr>
              <w:t>6.2 您解除合同的手续及风险</w:t>
            </w:r>
          </w:p>
        </w:tc>
        <w:tc>
          <w:tcPr>
            <w:tcW w:w="3308" w:type="dxa"/>
            <w:tcBorders>
              <w:left w:val="single" w:color="auto" w:sz="4" w:space="0"/>
            </w:tcBorders>
          </w:tcPr>
          <w:p>
            <w:pPr>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180" w:firstLineChars="100"/>
              <w:rPr>
                <w:rFonts w:ascii="宋体" w:hAnsi="宋体"/>
                <w:sz w:val="18"/>
              </w:rPr>
            </w:pPr>
          </w:p>
        </w:tc>
        <w:tc>
          <w:tcPr>
            <w:tcW w:w="3308" w:type="dxa"/>
            <w:tcBorders>
              <w:left w:val="single" w:color="auto" w:sz="4" w:space="0"/>
              <w:right w:val="single" w:color="auto" w:sz="4" w:space="0"/>
            </w:tcBorders>
          </w:tcPr>
          <w:p>
            <w:pPr>
              <w:rPr>
                <w:rFonts w:asciiTheme="minorEastAsia" w:hAnsiTheme="minorEastAsia" w:eastAsiaTheme="minorEastAsia"/>
              </w:rPr>
            </w:pPr>
          </w:p>
        </w:tc>
        <w:tc>
          <w:tcPr>
            <w:tcW w:w="3308" w:type="dxa"/>
            <w:tcBorders>
              <w:left w:val="single" w:color="auto" w:sz="4" w:space="0"/>
            </w:tcBorders>
          </w:tcPr>
          <w:p>
            <w:pPr>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ind w:firstLine="210" w:firstLineChars="100"/>
              <w:rPr>
                <w:rFonts w:ascii="宋体" w:hAnsi="宋体"/>
              </w:rPr>
            </w:pPr>
          </w:p>
        </w:tc>
        <w:tc>
          <w:tcPr>
            <w:tcW w:w="3308" w:type="dxa"/>
            <w:tcBorders>
              <w:left w:val="single" w:color="auto" w:sz="4" w:space="0"/>
              <w:right w:val="single" w:color="auto" w:sz="4" w:space="0"/>
            </w:tcBorders>
          </w:tcPr>
          <w:p>
            <w:pPr>
              <w:rPr>
                <w:rFonts w:asciiTheme="minorEastAsia" w:hAnsiTheme="minorEastAsia" w:eastAsiaTheme="minorEastAsia"/>
              </w:rPr>
            </w:pPr>
          </w:p>
        </w:tc>
        <w:tc>
          <w:tcPr>
            <w:tcW w:w="3308" w:type="dxa"/>
            <w:tcBorders>
              <w:left w:val="single" w:color="auto" w:sz="4" w:space="0"/>
            </w:tcBorders>
          </w:tcPr>
          <w:p>
            <w:pPr>
              <w:rPr>
                <w:rFonts w:asciiTheme="minorEastAsia" w:hAnsiTheme="minorEastAsia" w:eastAsiaTheme="minorEastAsia"/>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right w:val="single" w:color="auto" w:sz="4" w:space="0"/>
            </w:tcBorders>
          </w:tcPr>
          <w:p>
            <w:pPr>
              <w:pStyle w:val="17"/>
              <w:ind w:firstLine="0" w:firstLineChars="0"/>
              <w:rPr>
                <w:rFonts w:ascii="宋体" w:hAnsi="宋体"/>
                <w:b/>
              </w:rPr>
            </w:pPr>
          </w:p>
        </w:tc>
        <w:tc>
          <w:tcPr>
            <w:tcW w:w="3308" w:type="dxa"/>
            <w:tcBorders>
              <w:left w:val="single" w:color="auto" w:sz="4" w:space="0"/>
              <w:right w:val="single" w:color="auto" w:sz="4" w:space="0"/>
            </w:tcBorders>
          </w:tcPr>
          <w:p>
            <w:pPr>
              <w:rPr>
                <w:rFonts w:ascii="仿宋_GB2312" w:hAnsi="宋体" w:eastAsia="仿宋_GB2312"/>
              </w:rPr>
            </w:pPr>
          </w:p>
        </w:tc>
        <w:tc>
          <w:tcPr>
            <w:tcW w:w="3308" w:type="dxa"/>
            <w:tcBorders>
              <w:left w:val="single" w:color="auto" w:sz="4" w:space="0"/>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bottom w:val="nil"/>
              <w:right w:val="single" w:color="auto" w:sz="4" w:space="0"/>
            </w:tcBorders>
          </w:tcPr>
          <w:p>
            <w:pPr>
              <w:rPr>
                <w:rFonts w:ascii="宋体" w:hAnsi="宋体"/>
              </w:rPr>
            </w:pPr>
          </w:p>
        </w:tc>
        <w:tc>
          <w:tcPr>
            <w:tcW w:w="3308" w:type="dxa"/>
            <w:tcBorders>
              <w:left w:val="single" w:color="auto" w:sz="4" w:space="0"/>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bottom w:val="nil"/>
              <w:right w:val="single" w:color="auto" w:sz="4" w:space="0"/>
            </w:tcBorders>
          </w:tcPr>
          <w:p>
            <w:pPr>
              <w:rPr>
                <w:rFonts w:asciiTheme="minorEastAsia" w:hAnsiTheme="minorEastAsia" w:eastAsiaTheme="minorEastAsia"/>
                <w:b/>
              </w:rPr>
            </w:pPr>
          </w:p>
        </w:tc>
        <w:tc>
          <w:tcPr>
            <w:tcW w:w="3308" w:type="dxa"/>
            <w:tcBorders>
              <w:left w:val="single" w:color="auto" w:sz="4" w:space="0"/>
              <w:bottom w:val="nil"/>
              <w:right w:val="single" w:color="auto" w:sz="4" w:space="0"/>
            </w:tcBorders>
          </w:tcPr>
          <w:p>
            <w:pPr>
              <w:rPr>
                <w:rFonts w:asciiTheme="minorEastAsia" w:hAnsiTheme="minorEastAsia" w:eastAsiaTheme="minorEastAsia"/>
              </w:rPr>
            </w:pPr>
          </w:p>
        </w:tc>
        <w:tc>
          <w:tcPr>
            <w:tcW w:w="3308" w:type="dxa"/>
            <w:tcBorders>
              <w:left w:val="single" w:color="auto" w:sz="4" w:space="0"/>
              <w:bottom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top w:val="nil"/>
              <w:left w:val="nil"/>
              <w:bottom w:val="nil"/>
              <w:right w:val="nil"/>
            </w:tcBorders>
          </w:tcPr>
          <w:p>
            <w:pPr>
              <w:rPr>
                <w:rFonts w:asciiTheme="minorEastAsia" w:hAnsiTheme="minorEastAsia" w:eastAsiaTheme="minorEastAsia"/>
              </w:rPr>
            </w:pPr>
          </w:p>
        </w:tc>
        <w:tc>
          <w:tcPr>
            <w:tcW w:w="3308" w:type="dxa"/>
            <w:tcBorders>
              <w:left w:val="nil"/>
              <w:bottom w:val="nil"/>
              <w:right w:val="nil"/>
            </w:tcBorders>
          </w:tcPr>
          <w:p>
            <w:pPr>
              <w:rPr>
                <w:rFonts w:asciiTheme="minorEastAsia" w:hAnsiTheme="minorEastAsia" w:eastAsiaTheme="minorEastAsia"/>
              </w:rPr>
            </w:pPr>
          </w:p>
        </w:tc>
        <w:tc>
          <w:tcPr>
            <w:tcW w:w="3308" w:type="dxa"/>
            <w:tcBorders>
              <w:left w:val="nil"/>
              <w:bottom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top w:val="nil"/>
              <w:left w:val="nil"/>
              <w:bottom w:val="nil"/>
              <w:right w:val="nil"/>
            </w:tcBorders>
          </w:tcPr>
          <w:p>
            <w:pPr>
              <w:rPr>
                <w:rFonts w:asciiTheme="minorEastAsia" w:hAnsiTheme="minorEastAsia" w:eastAsiaTheme="minorEastAsia"/>
                <w:b/>
                <w:u w:val="single"/>
              </w:rPr>
            </w:pPr>
          </w:p>
        </w:tc>
        <w:tc>
          <w:tcPr>
            <w:tcW w:w="3308" w:type="dxa"/>
            <w:tcBorders>
              <w:top w:val="nil"/>
              <w:left w:val="nil"/>
              <w:bottom w:val="nil"/>
              <w:right w:val="nil"/>
            </w:tcBorders>
          </w:tcPr>
          <w:p>
            <w:pPr>
              <w:rPr>
                <w:rFonts w:ascii="仿宋_GB2312" w:hAnsi="宋体" w:eastAsia="仿宋_GB2312"/>
              </w:rPr>
            </w:pPr>
          </w:p>
        </w:tc>
        <w:tc>
          <w:tcPr>
            <w:tcW w:w="3308" w:type="dxa"/>
            <w:tcBorders>
              <w:top w:val="nil"/>
              <w:left w:val="nil"/>
              <w:bottom w:val="nil"/>
              <w:right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top w:val="nil"/>
              <w:left w:val="nil"/>
              <w:bottom w:val="nil"/>
              <w:right w:val="nil"/>
            </w:tcBorders>
          </w:tcPr>
          <w:p>
            <w:pPr>
              <w:rPr>
                <w:rFonts w:asciiTheme="minorEastAsia" w:hAnsiTheme="minorEastAsia" w:eastAsiaTheme="minorEastAsia"/>
                <w:b/>
                <w:u w:val="single"/>
              </w:rPr>
            </w:pPr>
          </w:p>
        </w:tc>
        <w:tc>
          <w:tcPr>
            <w:tcW w:w="3308" w:type="dxa"/>
            <w:tcBorders>
              <w:top w:val="nil"/>
              <w:left w:val="nil"/>
              <w:bottom w:val="nil"/>
              <w:right w:val="nil"/>
            </w:tcBorders>
          </w:tcPr>
          <w:p>
            <w:pPr>
              <w:rPr>
                <w:rFonts w:ascii="仿宋_GB2312" w:hAnsi="宋体" w:eastAsia="仿宋_GB2312"/>
              </w:rPr>
            </w:pPr>
          </w:p>
        </w:tc>
        <w:tc>
          <w:tcPr>
            <w:tcW w:w="3308" w:type="dxa"/>
            <w:tcBorders>
              <w:top w:val="nil"/>
              <w:left w:val="nil"/>
              <w:bottom w:val="nil"/>
              <w:right w:val="nil"/>
            </w:tcBorders>
          </w:tcPr>
          <w:p>
            <w:pPr>
              <w:rPr>
                <w:rFonts w:ascii="仿宋_GB2312" w:hAnsi="宋体" w:eastAsia="仿宋_GB2312"/>
              </w:rPr>
            </w:pPr>
          </w:p>
        </w:tc>
      </w:tr>
      <w:tr>
        <w:tblPrEx>
          <w:tblBorders>
            <w:top w:val="none" w:color="auto" w:sz="0" w:space="0"/>
            <w:left w:val="none" w:color="auto" w:sz="0" w:space="0"/>
            <w:bottom w:val="none" w:color="auto" w:sz="0" w:space="0"/>
            <w:right w:val="none" w:color="auto" w:sz="0" w:space="0"/>
            <w:insideH w:val="none" w:color="auto" w:sz="0" w:space="0"/>
            <w:insideV w:val="dashed" w:color="auto" w:sz="2" w:space="0"/>
          </w:tblBorders>
          <w:tblCellMar>
            <w:top w:w="0" w:type="dxa"/>
            <w:left w:w="108" w:type="dxa"/>
            <w:bottom w:w="0" w:type="dxa"/>
            <w:right w:w="108" w:type="dxa"/>
          </w:tblCellMar>
        </w:tblPrEx>
        <w:trPr>
          <w:trHeight w:val="340" w:hRule="atLeast"/>
        </w:trPr>
        <w:tc>
          <w:tcPr>
            <w:tcW w:w="3307" w:type="dxa"/>
            <w:tcBorders>
              <w:top w:val="nil"/>
              <w:left w:val="nil"/>
              <w:bottom w:val="nil"/>
              <w:right w:val="nil"/>
            </w:tcBorders>
          </w:tcPr>
          <w:p>
            <w:pPr>
              <w:rPr>
                <w:rFonts w:ascii="仿宋_GB2312" w:hAnsi="宋体" w:eastAsia="仿宋_GB2312"/>
              </w:rPr>
            </w:pPr>
          </w:p>
        </w:tc>
        <w:tc>
          <w:tcPr>
            <w:tcW w:w="3308" w:type="dxa"/>
            <w:tcBorders>
              <w:top w:val="nil"/>
              <w:left w:val="nil"/>
              <w:bottom w:val="nil"/>
              <w:right w:val="nil"/>
            </w:tcBorders>
          </w:tcPr>
          <w:p>
            <w:pPr>
              <w:rPr>
                <w:rFonts w:ascii="仿宋_GB2312" w:hAnsi="宋体" w:eastAsia="仿宋_GB2312"/>
              </w:rPr>
            </w:pPr>
          </w:p>
        </w:tc>
        <w:tc>
          <w:tcPr>
            <w:tcW w:w="3308" w:type="dxa"/>
            <w:tcBorders>
              <w:top w:val="nil"/>
              <w:left w:val="nil"/>
              <w:bottom w:val="nil"/>
              <w:right w:val="nil"/>
            </w:tcBorders>
          </w:tcPr>
          <w:p>
            <w:pPr>
              <w:rPr>
                <w:rFonts w:ascii="仿宋_GB2312" w:hAnsi="宋体" w:eastAsia="仿宋_GB2312"/>
              </w:rPr>
            </w:pPr>
          </w:p>
        </w:tc>
      </w:tr>
    </w:tbl>
    <w:p>
      <w:pPr>
        <w:widowControl/>
        <w:jc w:val="left"/>
        <w:rPr>
          <w:rFonts w:ascii="华文中宋" w:hAnsi="华文中宋" w:eastAsia="华文中宋"/>
          <w:b/>
          <w:sz w:val="32"/>
        </w:rPr>
      </w:pPr>
    </w:p>
    <w:p>
      <w:pPr>
        <w:widowControl/>
        <w:jc w:val="left"/>
        <w:rPr>
          <w:rFonts w:ascii="华文中宋" w:hAnsi="华文中宋" w:eastAsia="华文中宋"/>
          <w:b/>
          <w:sz w:val="32"/>
        </w:rPr>
      </w:pPr>
    </w:p>
    <w:p>
      <w:pPr>
        <w:jc w:val="center"/>
        <w:rPr>
          <w:rFonts w:ascii="华文中宋" w:hAnsi="华文中宋" w:eastAsia="华文中宋"/>
          <w:b/>
          <w:sz w:val="32"/>
        </w:rPr>
      </w:pPr>
      <w:r>
        <w:rPr>
          <w:rFonts w:ascii="华文中宋" w:hAnsi="华文中宋" w:eastAsia="华文中宋"/>
          <w:b/>
          <w:sz w:val="32"/>
        </w:rPr>
        <w:t>泰康人寿保险有限责任公司</w:t>
      </w:r>
    </w:p>
    <w:p>
      <w:pPr>
        <w:jc w:val="center"/>
        <w:rPr>
          <w:rFonts w:ascii="华文中宋" w:hAnsi="华文中宋" w:eastAsia="华文中宋"/>
          <w:b/>
          <w:sz w:val="32"/>
        </w:rPr>
      </w:pPr>
      <w:r>
        <w:rPr>
          <w:rFonts w:hint="eastAsia" w:ascii="华文中宋" w:hAnsi="华文中宋" w:eastAsia="华文中宋"/>
          <w:b/>
          <w:sz w:val="32"/>
        </w:rPr>
        <w:t>泰康颐瑞2号（尊赢版）养老年金保险（万能型）</w:t>
      </w:r>
      <w:r>
        <w:rPr>
          <w:rFonts w:ascii="华文中宋" w:hAnsi="华文中宋" w:eastAsia="华文中宋"/>
          <w:b/>
          <w:sz w:val="32"/>
        </w:rPr>
        <w:t>条款</w:t>
      </w:r>
    </w:p>
    <w:p>
      <w:pPr>
        <w:jc w:val="center"/>
        <w:rPr>
          <w:rFonts w:ascii="华文中宋" w:hAnsi="华文中宋" w:eastAsia="华文中宋"/>
          <w:b/>
          <w:szCs w:val="21"/>
        </w:rPr>
      </w:pPr>
    </w:p>
    <w:p>
      <w:pPr>
        <w:rPr>
          <w:rFonts w:ascii="宋体" w:hAnsi="宋体"/>
        </w:rPr>
      </w:pPr>
      <w:r>
        <w:rPr>
          <w:rFonts w:ascii="宋体" w:hAnsi="宋体"/>
        </w:rPr>
        <w:t>在本条款中，“您”指投保人，“我们”、“本公司”均指在保险单上签章的泰康人寿保险有限</w:t>
      </w:r>
      <w:r>
        <w:rPr>
          <w:rFonts w:hint="eastAsia" w:ascii="宋体" w:hAnsi="宋体"/>
        </w:rPr>
        <w:t>责任</w:t>
      </w:r>
      <w:r>
        <w:rPr>
          <w:rFonts w:ascii="宋体" w:hAnsi="宋体"/>
        </w:rPr>
        <w:t>公司的分公司，“本合同”指您与我们之间订立的“</w:t>
      </w:r>
      <w:r>
        <w:rPr>
          <w:rFonts w:hint="eastAsia" w:ascii="宋体" w:hAnsi="宋体"/>
        </w:rPr>
        <w:t>泰康颐瑞2号（尊赢版）养老年金保险（万能型）保险</w:t>
      </w:r>
      <w:r>
        <w:rPr>
          <w:rFonts w:ascii="宋体" w:hAnsi="宋体"/>
        </w:rPr>
        <w:t>合同”</w:t>
      </w:r>
      <w:r>
        <w:rPr>
          <w:rFonts w:hint="eastAsia" w:ascii="宋体" w:hAnsi="宋体"/>
        </w:rPr>
        <w:t>，“被保险人”指本合同的被保险人，投保人、被保险人的姓名在保险单上载明。</w:t>
      </w:r>
    </w:p>
    <w:p>
      <w:pPr>
        <w:rPr>
          <w:rFonts w:ascii="宋体" w:hAnsi="宋体"/>
        </w:rPr>
      </w:pPr>
    </w:p>
    <w:tbl>
      <w:tblPr>
        <w:tblStyle w:val="9"/>
        <w:tblW w:w="0" w:type="auto"/>
        <w:tblInd w:w="-5" w:type="dxa"/>
        <w:tblLayout w:type="fixed"/>
        <w:tblCellMar>
          <w:top w:w="0" w:type="dxa"/>
          <w:left w:w="108" w:type="dxa"/>
          <w:bottom w:w="0" w:type="dxa"/>
          <w:right w:w="108" w:type="dxa"/>
        </w:tblCellMar>
      </w:tblPr>
      <w:tblGrid>
        <w:gridCol w:w="668"/>
        <w:gridCol w:w="1555"/>
        <w:gridCol w:w="7591"/>
      </w:tblGrid>
      <w:tr>
        <w:tblPrEx>
          <w:tblCellMar>
            <w:top w:w="0" w:type="dxa"/>
            <w:left w:w="108" w:type="dxa"/>
            <w:bottom w:w="0" w:type="dxa"/>
            <w:right w:w="108" w:type="dxa"/>
          </w:tblCellMar>
        </w:tblPrEx>
        <w:trPr>
          <w:trHeight w:val="510" w:hRule="exact"/>
        </w:trPr>
        <w:tc>
          <w:tcPr>
            <w:tcW w:w="668" w:type="dxa"/>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1</w:t>
            </w:r>
            <w:r>
              <w:rPr>
                <w:rFonts w:ascii="宋体" w:hAnsi="宋体"/>
                <w:b/>
                <w:sz w:val="24"/>
              </w:rPr>
              <w:t>.</w:t>
            </w:r>
          </w:p>
        </w:tc>
        <w:tc>
          <w:tcPr>
            <w:tcW w:w="9146" w:type="dxa"/>
            <w:gridSpan w:val="2"/>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我们保多久、保什么</w:t>
            </w:r>
          </w:p>
        </w:tc>
      </w:tr>
      <w:tr>
        <w:tblPrEx>
          <w:tblCellMar>
            <w:top w:w="0" w:type="dxa"/>
            <w:left w:w="108" w:type="dxa"/>
            <w:bottom w:w="0" w:type="dxa"/>
            <w:right w:w="108" w:type="dxa"/>
          </w:tblCellMar>
        </w:tblPrEx>
        <w:trPr>
          <w:trHeight w:val="170" w:hRule="exact"/>
        </w:trPr>
        <w:tc>
          <w:tcPr>
            <w:tcW w:w="668" w:type="dxa"/>
            <w:tcBorders>
              <w:top w:val="single" w:color="auto" w:sz="8" w:space="0"/>
            </w:tcBorders>
          </w:tcPr>
          <w:p>
            <w:pPr>
              <w:spacing w:before="78" w:beforeLines="25"/>
              <w:rPr>
                <w:rFonts w:ascii="宋体" w:hAnsi="宋体"/>
              </w:rPr>
            </w:pPr>
          </w:p>
        </w:tc>
        <w:tc>
          <w:tcPr>
            <w:tcW w:w="1555" w:type="dxa"/>
            <w:tcBorders>
              <w:top w:val="single" w:color="auto" w:sz="8" w:space="0"/>
            </w:tcBorders>
          </w:tcPr>
          <w:p>
            <w:pPr>
              <w:spacing w:before="78" w:beforeLines="25"/>
              <w:rPr>
                <w:rFonts w:ascii="宋体" w:hAnsi="宋体"/>
              </w:rPr>
            </w:pPr>
          </w:p>
        </w:tc>
        <w:tc>
          <w:tcPr>
            <w:tcW w:w="7591" w:type="dxa"/>
            <w:tcBorders>
              <w:top w:val="single" w:color="auto" w:sz="8" w:space="0"/>
            </w:tcBorders>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1</w:t>
            </w:r>
            <w:r>
              <w:rPr>
                <w:rFonts w:ascii="宋体" w:hAnsi="宋体"/>
                <w:b/>
              </w:rPr>
              <w:t>.</w:t>
            </w:r>
            <w:r>
              <w:rPr>
                <w:rFonts w:hint="eastAsia" w:ascii="宋体" w:hAnsi="宋体"/>
                <w:b/>
              </w:rPr>
              <w:t>1</w:t>
            </w:r>
          </w:p>
        </w:tc>
        <w:tc>
          <w:tcPr>
            <w:tcW w:w="1555" w:type="dxa"/>
          </w:tcPr>
          <w:p>
            <w:pPr>
              <w:spacing w:before="78" w:beforeLines="25"/>
              <w:jc w:val="left"/>
              <w:rPr>
                <w:rFonts w:ascii="宋体" w:hAnsi="宋体"/>
                <w:b/>
              </w:rPr>
            </w:pPr>
            <w:r>
              <w:rPr>
                <w:rFonts w:hint="eastAsia" w:ascii="宋体" w:hAnsi="宋体"/>
                <w:b/>
              </w:rPr>
              <w:t>保险期间</w:t>
            </w:r>
          </w:p>
        </w:tc>
        <w:tc>
          <w:tcPr>
            <w:tcW w:w="7591" w:type="dxa"/>
          </w:tcPr>
          <w:p>
            <w:pPr>
              <w:spacing w:before="78" w:beforeLines="25"/>
              <w:rPr>
                <w:rFonts w:ascii="宋体" w:hAnsi="宋体"/>
              </w:rPr>
            </w:pPr>
            <w:r>
              <w:rPr>
                <w:rFonts w:ascii="宋体" w:hAnsi="宋体"/>
              </w:rPr>
              <w:t>本合同的保险期间为被保险人终身，</w:t>
            </w:r>
            <w:r>
              <w:rPr>
                <w:rFonts w:hint="eastAsia" w:ascii="宋体" w:hAnsi="宋体"/>
              </w:rPr>
              <w:t>自本合同生效日零时起至被保险人身故时止，保险期间在保险单上载明。</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楷体_GB2312" w:hAnsi="宋体" w:eastAsia="楷体_GB2312"/>
                <w:b/>
                <w:szCs w:val="21"/>
              </w:rPr>
            </w:pPr>
          </w:p>
        </w:tc>
        <w:tc>
          <w:tcPr>
            <w:tcW w:w="1555" w:type="dxa"/>
          </w:tcPr>
          <w:p>
            <w:pPr>
              <w:spacing w:before="78" w:beforeLines="25"/>
              <w:jc w:val="left"/>
              <w:rPr>
                <w:rFonts w:asciiTheme="minorEastAsia" w:hAnsiTheme="minorEastAsia" w:eastAsiaTheme="minorEastAsia"/>
                <w:b/>
                <w:szCs w:val="21"/>
              </w:rPr>
            </w:pPr>
          </w:p>
        </w:tc>
        <w:tc>
          <w:tcPr>
            <w:tcW w:w="7591" w:type="dxa"/>
          </w:tcPr>
          <w:p>
            <w:pPr>
              <w:spacing w:before="78" w:beforeLines="25"/>
              <w:rPr>
                <w:rFonts w:ascii="宋体" w:hAnsi="宋体"/>
                <w:szCs w:val="21"/>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1.</w:t>
            </w:r>
            <w:r>
              <w:rPr>
                <w:rFonts w:ascii="宋体" w:hAnsi="宋体"/>
                <w:b/>
              </w:rPr>
              <w:t>2</w:t>
            </w:r>
          </w:p>
        </w:tc>
        <w:tc>
          <w:tcPr>
            <w:tcW w:w="1555" w:type="dxa"/>
          </w:tcPr>
          <w:p>
            <w:pPr>
              <w:spacing w:before="78" w:beforeLines="25"/>
              <w:ind w:right="-724" w:rightChars="-345"/>
              <w:jc w:val="left"/>
              <w:rPr>
                <w:rFonts w:ascii="宋体" w:hAnsi="宋体"/>
                <w:b/>
              </w:rPr>
            </w:pPr>
            <w:r>
              <w:rPr>
                <w:rFonts w:hint="eastAsia" w:ascii="宋体" w:hAnsi="宋体"/>
                <w:b/>
              </w:rPr>
              <w:t>保险责任</w:t>
            </w:r>
          </w:p>
        </w:tc>
        <w:tc>
          <w:tcPr>
            <w:tcW w:w="7591" w:type="dxa"/>
          </w:tcPr>
          <w:p>
            <w:pPr>
              <w:spacing w:before="78" w:beforeLines="25"/>
              <w:rPr>
                <w:rFonts w:ascii="宋体" w:hAnsi="宋体"/>
              </w:rPr>
            </w:pPr>
            <w:r>
              <w:rPr>
                <w:rFonts w:hint="eastAsia" w:ascii="宋体" w:hAnsi="宋体"/>
              </w:rPr>
              <w:t>在本合同保险期间内，我们承担下列保险责任：</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楷体_GB2312" w:hAnsi="宋体" w:eastAsia="楷体_GB2312"/>
                <w:b/>
                <w:szCs w:val="21"/>
              </w:rPr>
            </w:pPr>
          </w:p>
        </w:tc>
        <w:tc>
          <w:tcPr>
            <w:tcW w:w="1555" w:type="dxa"/>
          </w:tcPr>
          <w:p>
            <w:pPr>
              <w:spacing w:before="78" w:beforeLines="25"/>
              <w:rPr>
                <w:rFonts w:asciiTheme="minorEastAsia" w:hAnsiTheme="minorEastAsia" w:eastAsiaTheme="minorEastAsia"/>
                <w:b/>
                <w:szCs w:val="21"/>
              </w:rPr>
            </w:pPr>
          </w:p>
        </w:tc>
        <w:tc>
          <w:tcPr>
            <w:tcW w:w="7591" w:type="dxa"/>
          </w:tcPr>
          <w:p>
            <w:pPr>
              <w:spacing w:before="78" w:beforeLines="25"/>
              <w:rPr>
                <w:rFonts w:ascii="宋体" w:hAnsi="宋体"/>
                <w:szCs w:val="21"/>
              </w:rPr>
            </w:pPr>
          </w:p>
        </w:tc>
      </w:tr>
      <w:tr>
        <w:tblPrEx>
          <w:tblCellMar>
            <w:top w:w="0" w:type="dxa"/>
            <w:left w:w="108" w:type="dxa"/>
            <w:bottom w:w="0" w:type="dxa"/>
            <w:right w:w="108" w:type="dxa"/>
          </w:tblCellMar>
        </w:tblPrEx>
        <w:trPr>
          <w:trHeight w:val="170" w:hRule="atLeast"/>
        </w:trPr>
        <w:tc>
          <w:tcPr>
            <w:tcW w:w="668" w:type="dxa"/>
          </w:tcPr>
          <w:p>
            <w:pPr>
              <w:spacing w:before="78" w:beforeLines="25"/>
              <w:rPr>
                <w:rFonts w:ascii="楷体_GB2312" w:hAnsi="宋体" w:eastAsia="楷体_GB2312"/>
                <w:b/>
                <w:szCs w:val="21"/>
              </w:rPr>
            </w:pPr>
          </w:p>
        </w:tc>
        <w:tc>
          <w:tcPr>
            <w:tcW w:w="1555" w:type="dxa"/>
          </w:tcPr>
          <w:p>
            <w:pPr>
              <w:spacing w:before="78" w:beforeLines="25"/>
              <w:rPr>
                <w:rFonts w:asciiTheme="minorEastAsia" w:hAnsiTheme="minorEastAsia" w:eastAsiaTheme="minorEastAsia"/>
                <w:b/>
                <w:szCs w:val="21"/>
              </w:rPr>
            </w:pPr>
            <w:r>
              <w:rPr>
                <w:rFonts w:hint="eastAsia" w:asciiTheme="minorEastAsia" w:hAnsiTheme="minorEastAsia" w:eastAsiaTheme="minorEastAsia"/>
                <w:b/>
                <w:szCs w:val="21"/>
              </w:rPr>
              <w:t>养老保险金</w:t>
            </w:r>
          </w:p>
        </w:tc>
        <w:tc>
          <w:tcPr>
            <w:tcW w:w="7591" w:type="dxa"/>
          </w:tcPr>
          <w:p>
            <w:pPr>
              <w:spacing w:before="78" w:beforeLines="25"/>
              <w:rPr>
                <w:rFonts w:ascii="宋体" w:hAnsi="宋体"/>
              </w:rPr>
            </w:pPr>
            <w:r>
              <w:rPr>
                <w:rFonts w:hint="eastAsia" w:ascii="宋体" w:hAnsi="宋体"/>
              </w:rPr>
              <w:t>本合同养老保险金的领取年龄、领取方式和领取比例由您在投保时与我们约定，并在保险单上载明。</w:t>
            </w:r>
            <w:r>
              <w:rPr>
                <w:rFonts w:hint="eastAsia" w:ascii="黑体" w:hAnsi="黑体" w:eastAsia="黑体"/>
              </w:rPr>
              <w:t>男性被保险人的养老保险金领取年龄不得早于</w:t>
            </w:r>
            <w:r>
              <w:rPr>
                <w:rFonts w:ascii="黑体" w:hAnsi="黑体" w:eastAsia="黑体"/>
              </w:rPr>
              <w:t>60</w:t>
            </w:r>
            <w:r>
              <w:rPr>
                <w:rFonts w:hint="eastAsia" w:ascii="黑体" w:hAnsi="黑体" w:eastAsia="黑体"/>
                <w:b/>
              </w:rPr>
              <w:t>周岁</w:t>
            </w:r>
            <w:r>
              <w:rPr>
                <w:rStyle w:val="14"/>
                <w:rFonts w:ascii="黑体" w:hAnsi="黑体" w:eastAsia="黑体"/>
                <w:b/>
              </w:rPr>
              <w:footnoteReference w:id="0"/>
            </w:r>
            <w:r>
              <w:rPr>
                <w:rFonts w:hint="eastAsia" w:ascii="黑体" w:hAnsi="黑体" w:eastAsia="黑体"/>
              </w:rPr>
              <w:t>；女性被保险人的养老保险金领取年龄不得早于</w:t>
            </w:r>
            <w:r>
              <w:rPr>
                <w:rFonts w:ascii="黑体" w:hAnsi="黑体" w:eastAsia="黑体"/>
              </w:rPr>
              <w:t>55</w:t>
            </w:r>
            <w:r>
              <w:rPr>
                <w:rFonts w:hint="eastAsia" w:ascii="黑体" w:hAnsi="黑体" w:eastAsia="黑体"/>
              </w:rPr>
              <w:t>周岁。</w:t>
            </w:r>
            <w:r>
              <w:rPr>
                <w:rFonts w:hint="eastAsia" w:ascii="宋体" w:hAnsi="宋体"/>
              </w:rPr>
              <w:t>在养老保险金受益人开始领取养老保险金之前，您可以申请变更养老保险金的领取年龄、领取方式和领取比例。</w:t>
            </w:r>
          </w:p>
          <w:p>
            <w:pPr>
              <w:spacing w:before="78" w:beforeLines="25"/>
              <w:rPr>
                <w:rFonts w:ascii="宋体" w:hAnsi="宋体"/>
              </w:rPr>
            </w:pPr>
            <w:r>
              <w:rPr>
                <w:rFonts w:hint="eastAsia" w:ascii="宋体" w:hAnsi="宋体"/>
              </w:rPr>
              <w:t>在本合同有效期内，自约定的养老保险金领取年龄后的首个本合同的</w:t>
            </w:r>
            <w:r>
              <w:rPr>
                <w:rFonts w:hint="eastAsia" w:ascii="宋体" w:hAnsi="宋体"/>
                <w:b/>
                <w:szCs w:val="21"/>
              </w:rPr>
              <w:t>年</w:t>
            </w:r>
            <w:r>
              <w:rPr>
                <w:rFonts w:hint="eastAsia" w:ascii="宋体" w:hAnsi="宋体"/>
                <w:b/>
              </w:rPr>
              <w:t>生效对应日</w:t>
            </w:r>
            <w:r>
              <w:rPr>
                <w:rStyle w:val="14"/>
                <w:rFonts w:ascii="宋体" w:hAnsi="宋体"/>
                <w:b/>
              </w:rPr>
              <w:footnoteReference w:id="1"/>
            </w:r>
            <w:r>
              <w:rPr>
                <w:rFonts w:hint="eastAsia" w:ascii="宋体" w:hAnsi="宋体"/>
              </w:rPr>
              <w:t>（含该日）起，若被保险人在每一个本合同的年生效对应日（或</w:t>
            </w:r>
            <w:r>
              <w:rPr>
                <w:rFonts w:hint="eastAsia" w:ascii="宋体" w:hAnsi="宋体"/>
                <w:b/>
              </w:rPr>
              <w:t>月生效对应日</w:t>
            </w:r>
            <w:r>
              <w:rPr>
                <w:rStyle w:val="14"/>
                <w:rFonts w:ascii="宋体" w:hAnsi="宋体"/>
                <w:b/>
              </w:rPr>
              <w:footnoteReference w:id="2"/>
            </w:r>
            <w:r>
              <w:rPr>
                <w:rFonts w:hint="eastAsia" w:ascii="宋体" w:hAnsi="宋体"/>
              </w:rPr>
              <w:t>）生存，我们按当时本合同的保单账户价值乘以约定的领取比例向养老保险金受益人给付养老保险金，给付后本合同的保单账户价值等额减少。</w:t>
            </w:r>
          </w:p>
          <w:p>
            <w:pPr>
              <w:spacing w:before="78" w:beforeLines="25"/>
              <w:rPr>
                <w:rFonts w:ascii="宋体" w:hAnsi="宋体"/>
              </w:rPr>
            </w:pPr>
            <w:r>
              <w:rPr>
                <w:rFonts w:hint="eastAsia" w:ascii="宋体" w:hAnsi="宋体"/>
              </w:rPr>
              <w:t>每个</w:t>
            </w:r>
            <w:r>
              <w:rPr>
                <w:rFonts w:hint="eastAsia" w:ascii="宋体" w:hAnsi="宋体"/>
                <w:b/>
              </w:rPr>
              <w:t>保单年度</w:t>
            </w:r>
            <w:r>
              <w:rPr>
                <w:rStyle w:val="14"/>
                <w:rFonts w:ascii="宋体" w:hAnsi="宋体"/>
                <w:b/>
              </w:rPr>
              <w:footnoteReference w:id="3"/>
            </w:r>
            <w:r>
              <w:rPr>
                <w:rFonts w:hint="eastAsia" w:ascii="宋体" w:hAnsi="宋体"/>
              </w:rPr>
              <w:t>领取的养老保险金不得超过本合同的账户价值，且须符合投保当时我们的规定。</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楷体_GB2312" w:hAnsi="宋体" w:eastAsia="楷体_GB2312"/>
                <w:b/>
                <w:szCs w:val="21"/>
              </w:rPr>
            </w:pPr>
          </w:p>
        </w:tc>
        <w:tc>
          <w:tcPr>
            <w:tcW w:w="1555" w:type="dxa"/>
          </w:tcPr>
          <w:p>
            <w:pPr>
              <w:spacing w:before="78" w:beforeLines="25"/>
              <w:rPr>
                <w:rFonts w:asciiTheme="minorEastAsia" w:hAnsiTheme="minorEastAsia" w:eastAsiaTheme="minorEastAsia"/>
                <w:b/>
                <w:szCs w:val="21"/>
              </w:rPr>
            </w:pPr>
          </w:p>
        </w:tc>
        <w:tc>
          <w:tcPr>
            <w:tcW w:w="7591" w:type="dxa"/>
          </w:tcPr>
          <w:p>
            <w:pPr>
              <w:spacing w:before="78" w:beforeLines="25"/>
              <w:ind w:left="-94" w:leftChars="-45"/>
              <w:rPr>
                <w:rFonts w:ascii="宋体" w:hAnsi="宋体"/>
                <w:szCs w:val="21"/>
              </w:rPr>
            </w:pPr>
          </w:p>
        </w:tc>
      </w:tr>
      <w:tr>
        <w:tblPrEx>
          <w:tblCellMar>
            <w:top w:w="0" w:type="dxa"/>
            <w:left w:w="108" w:type="dxa"/>
            <w:bottom w:w="0" w:type="dxa"/>
            <w:right w:w="108" w:type="dxa"/>
          </w:tblCellMar>
        </w:tblPrEx>
        <w:trPr>
          <w:trHeight w:val="170" w:hRule="atLeast"/>
        </w:trPr>
        <w:tc>
          <w:tcPr>
            <w:tcW w:w="668" w:type="dxa"/>
          </w:tcPr>
          <w:p>
            <w:pPr>
              <w:spacing w:before="78" w:beforeLines="25"/>
              <w:rPr>
                <w:rFonts w:ascii="楷体_GB2312" w:hAnsi="宋体" w:eastAsia="楷体_GB2312"/>
                <w:b/>
                <w:szCs w:val="21"/>
              </w:rPr>
            </w:pPr>
          </w:p>
        </w:tc>
        <w:tc>
          <w:tcPr>
            <w:tcW w:w="1555" w:type="dxa"/>
          </w:tcPr>
          <w:p>
            <w:pPr>
              <w:spacing w:before="78" w:beforeLines="25"/>
              <w:rPr>
                <w:rFonts w:asciiTheme="minorEastAsia" w:hAnsiTheme="minorEastAsia" w:eastAsiaTheme="minorEastAsia"/>
                <w:b/>
                <w:szCs w:val="21"/>
              </w:rPr>
            </w:pPr>
            <w:r>
              <w:rPr>
                <w:rFonts w:hint="eastAsia" w:asciiTheme="minorEastAsia" w:hAnsiTheme="minorEastAsia" w:eastAsiaTheme="minorEastAsia"/>
                <w:b/>
                <w:szCs w:val="21"/>
              </w:rPr>
              <w:t>身故保险金</w:t>
            </w:r>
          </w:p>
        </w:tc>
        <w:tc>
          <w:tcPr>
            <w:tcW w:w="7591" w:type="dxa"/>
          </w:tcPr>
          <w:p>
            <w:pPr>
              <w:spacing w:before="78" w:beforeLines="25"/>
              <w:rPr>
                <w:rFonts w:ascii="宋体" w:hAnsi="宋体"/>
                <w:szCs w:val="21"/>
              </w:rPr>
            </w:pPr>
            <w:r>
              <w:rPr>
                <w:rFonts w:hint="eastAsia" w:ascii="宋体" w:hAnsi="宋体"/>
                <w:szCs w:val="21"/>
              </w:rPr>
              <w:t>在本合同有效期内，若被保险人身故，我们向身故保险金受益人给付身故保险金，本合同终止。身故保险金的金额为</w:t>
            </w:r>
            <w:r>
              <w:rPr>
                <w:rFonts w:ascii="宋体" w:hAnsi="宋体"/>
              </w:rPr>
              <w:t>被保险人身故之日</w:t>
            </w:r>
            <w:r>
              <w:rPr>
                <w:rFonts w:hint="eastAsia" w:ascii="宋体" w:hAnsi="宋体"/>
              </w:rPr>
              <w:t>本合同的保单账户价值。</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楷体_GB2312" w:hAnsi="宋体" w:eastAsia="楷体_GB2312"/>
                <w:b/>
                <w:szCs w:val="21"/>
              </w:rPr>
            </w:pPr>
          </w:p>
        </w:tc>
        <w:tc>
          <w:tcPr>
            <w:tcW w:w="1555" w:type="dxa"/>
          </w:tcPr>
          <w:p>
            <w:pPr>
              <w:spacing w:before="78" w:beforeLines="25"/>
              <w:rPr>
                <w:rFonts w:asciiTheme="minorEastAsia" w:hAnsiTheme="minorEastAsia" w:eastAsiaTheme="minorEastAsia"/>
                <w:b/>
                <w:szCs w:val="21"/>
              </w:rPr>
            </w:pPr>
          </w:p>
        </w:tc>
        <w:tc>
          <w:tcPr>
            <w:tcW w:w="7591" w:type="dxa"/>
          </w:tcPr>
          <w:p>
            <w:pPr>
              <w:spacing w:before="78" w:beforeLines="25"/>
              <w:ind w:left="-94" w:leftChars="-45"/>
              <w:rPr>
                <w:rFonts w:ascii="宋体" w:hAnsi="宋体"/>
                <w:szCs w:val="21"/>
              </w:rPr>
            </w:pPr>
            <w:bookmarkStart w:id="1" w:name="_GoBack"/>
            <w:bookmarkEnd w:id="1"/>
          </w:p>
        </w:tc>
      </w:tr>
      <w:tr>
        <w:tblPrEx>
          <w:tblCellMar>
            <w:top w:w="0" w:type="dxa"/>
            <w:left w:w="108" w:type="dxa"/>
            <w:bottom w:w="0" w:type="dxa"/>
            <w:right w:w="108" w:type="dxa"/>
          </w:tblCellMar>
        </w:tblPrEx>
        <w:trPr>
          <w:trHeight w:val="170" w:hRule="atLeast"/>
        </w:trPr>
        <w:tc>
          <w:tcPr>
            <w:tcW w:w="668" w:type="dxa"/>
          </w:tcPr>
          <w:p>
            <w:pPr>
              <w:spacing w:before="78" w:beforeLines="25"/>
              <w:rPr>
                <w:rFonts w:ascii="楷体_GB2312" w:hAnsi="宋体" w:eastAsia="楷体_GB2312"/>
                <w:b/>
                <w:szCs w:val="21"/>
              </w:rPr>
            </w:pPr>
          </w:p>
        </w:tc>
        <w:tc>
          <w:tcPr>
            <w:tcW w:w="1555" w:type="dxa"/>
          </w:tcPr>
          <w:p>
            <w:pPr>
              <w:spacing w:before="78" w:beforeLines="25"/>
              <w:rPr>
                <w:rFonts w:asciiTheme="minorEastAsia" w:hAnsiTheme="minorEastAsia" w:eastAsiaTheme="minorEastAsia"/>
                <w:b/>
                <w:szCs w:val="21"/>
              </w:rPr>
            </w:pPr>
          </w:p>
        </w:tc>
        <w:tc>
          <w:tcPr>
            <w:tcW w:w="7591" w:type="dxa"/>
          </w:tcPr>
          <w:p>
            <w:pPr>
              <w:spacing w:before="78" w:beforeLines="25"/>
              <w:rPr>
                <w:rFonts w:ascii="宋体" w:hAnsi="宋体"/>
                <w:szCs w:val="21"/>
              </w:rPr>
            </w:pPr>
            <w:r>
              <w:rPr>
                <w:rFonts w:hint="eastAsia" w:ascii="宋体" w:hAnsi="宋体"/>
                <w:szCs w:val="21"/>
              </w:rPr>
              <w:t>（此页正文完）</w:t>
            </w:r>
          </w:p>
        </w:tc>
      </w:tr>
      <w:tr>
        <w:tblPrEx>
          <w:tblCellMar>
            <w:top w:w="0" w:type="dxa"/>
            <w:left w:w="108" w:type="dxa"/>
            <w:bottom w:w="0" w:type="dxa"/>
            <w:right w:w="108" w:type="dxa"/>
          </w:tblCellMar>
        </w:tblPrEx>
        <w:trPr>
          <w:trHeight w:val="170" w:hRule="atLeast"/>
        </w:trPr>
        <w:tc>
          <w:tcPr>
            <w:tcW w:w="668" w:type="dxa"/>
          </w:tcPr>
          <w:p>
            <w:pPr>
              <w:spacing w:before="78" w:beforeLines="25"/>
              <w:rPr>
                <w:rFonts w:ascii="楷体_GB2312" w:hAnsi="宋体" w:eastAsia="楷体_GB2312"/>
                <w:b/>
                <w:szCs w:val="21"/>
              </w:rPr>
            </w:pPr>
          </w:p>
        </w:tc>
        <w:tc>
          <w:tcPr>
            <w:tcW w:w="1555" w:type="dxa"/>
          </w:tcPr>
          <w:p>
            <w:pPr>
              <w:spacing w:before="78" w:beforeLines="25"/>
              <w:rPr>
                <w:rFonts w:asciiTheme="minorEastAsia" w:hAnsiTheme="minorEastAsia" w:eastAsiaTheme="minorEastAsia"/>
                <w:b/>
                <w:szCs w:val="21"/>
              </w:rPr>
            </w:pPr>
          </w:p>
        </w:tc>
        <w:tc>
          <w:tcPr>
            <w:tcW w:w="7591" w:type="dxa"/>
          </w:tcPr>
          <w:p>
            <w:pPr>
              <w:spacing w:before="78" w:beforeLines="25"/>
              <w:rPr>
                <w:rFonts w:ascii="宋体" w:hAnsi="宋体"/>
                <w:szCs w:val="21"/>
              </w:rPr>
            </w:pPr>
          </w:p>
        </w:tc>
      </w:tr>
      <w:tr>
        <w:tblPrEx>
          <w:tblCellMar>
            <w:top w:w="0" w:type="dxa"/>
            <w:left w:w="108" w:type="dxa"/>
            <w:bottom w:w="0" w:type="dxa"/>
            <w:right w:w="108" w:type="dxa"/>
          </w:tblCellMar>
        </w:tblPrEx>
        <w:trPr>
          <w:trHeight w:val="170" w:hRule="atLeast"/>
        </w:trPr>
        <w:tc>
          <w:tcPr>
            <w:tcW w:w="668" w:type="dxa"/>
          </w:tcPr>
          <w:p>
            <w:pPr>
              <w:spacing w:before="78" w:beforeLines="25"/>
              <w:rPr>
                <w:rFonts w:ascii="楷体_GB2312" w:hAnsi="宋体" w:eastAsia="楷体_GB2312"/>
                <w:b/>
                <w:szCs w:val="21"/>
              </w:rPr>
            </w:pPr>
          </w:p>
        </w:tc>
        <w:tc>
          <w:tcPr>
            <w:tcW w:w="1555" w:type="dxa"/>
          </w:tcPr>
          <w:p>
            <w:pPr>
              <w:spacing w:before="78" w:beforeLines="25"/>
              <w:rPr>
                <w:rFonts w:asciiTheme="minorEastAsia" w:hAnsiTheme="minorEastAsia" w:eastAsiaTheme="minorEastAsia"/>
                <w:b/>
                <w:szCs w:val="21"/>
              </w:rPr>
            </w:pPr>
          </w:p>
        </w:tc>
        <w:tc>
          <w:tcPr>
            <w:tcW w:w="7591" w:type="dxa"/>
          </w:tcPr>
          <w:p>
            <w:pPr>
              <w:spacing w:before="78" w:beforeLines="25"/>
              <w:rPr>
                <w:rFonts w:ascii="宋体" w:hAnsi="宋体"/>
                <w:szCs w:val="21"/>
              </w:rPr>
            </w:pPr>
          </w:p>
        </w:tc>
      </w:tr>
      <w:tr>
        <w:tblPrEx>
          <w:tblCellMar>
            <w:top w:w="0" w:type="dxa"/>
            <w:left w:w="108" w:type="dxa"/>
            <w:bottom w:w="0" w:type="dxa"/>
            <w:right w:w="108" w:type="dxa"/>
          </w:tblCellMar>
        </w:tblPrEx>
        <w:trPr>
          <w:trHeight w:val="170" w:hRule="atLeast"/>
        </w:trPr>
        <w:tc>
          <w:tcPr>
            <w:tcW w:w="668" w:type="dxa"/>
          </w:tcPr>
          <w:p>
            <w:pPr>
              <w:spacing w:before="78" w:beforeLines="25"/>
              <w:rPr>
                <w:rFonts w:ascii="楷体_GB2312" w:hAnsi="宋体" w:eastAsia="楷体_GB2312"/>
                <w:b/>
                <w:szCs w:val="21"/>
              </w:rPr>
            </w:pPr>
          </w:p>
        </w:tc>
        <w:tc>
          <w:tcPr>
            <w:tcW w:w="1555" w:type="dxa"/>
          </w:tcPr>
          <w:p>
            <w:pPr>
              <w:spacing w:before="78" w:beforeLines="25"/>
              <w:rPr>
                <w:rFonts w:asciiTheme="minorEastAsia" w:hAnsiTheme="minorEastAsia" w:eastAsiaTheme="minorEastAsia"/>
                <w:b/>
                <w:szCs w:val="21"/>
              </w:rPr>
            </w:pPr>
          </w:p>
        </w:tc>
        <w:tc>
          <w:tcPr>
            <w:tcW w:w="7591" w:type="dxa"/>
          </w:tcPr>
          <w:p>
            <w:pPr>
              <w:spacing w:before="78" w:beforeLines="25"/>
              <w:rPr>
                <w:rFonts w:ascii="宋体" w:hAnsi="宋体"/>
                <w:szCs w:val="21"/>
              </w:rPr>
            </w:pPr>
          </w:p>
          <w:p>
            <w:pPr>
              <w:spacing w:before="78" w:beforeLines="25"/>
              <w:rPr>
                <w:rFonts w:ascii="宋体" w:hAnsi="宋体"/>
                <w:szCs w:val="21"/>
              </w:rPr>
            </w:pPr>
          </w:p>
          <w:p>
            <w:pPr>
              <w:spacing w:before="78" w:beforeLines="25"/>
              <w:rPr>
                <w:rFonts w:ascii="宋体" w:hAnsi="宋体"/>
                <w:szCs w:val="21"/>
              </w:rPr>
            </w:pPr>
          </w:p>
          <w:p>
            <w:pPr>
              <w:spacing w:before="78" w:beforeLines="25"/>
              <w:rPr>
                <w:rFonts w:ascii="宋体" w:hAnsi="宋体"/>
                <w:szCs w:val="21"/>
              </w:rPr>
            </w:pPr>
          </w:p>
          <w:p>
            <w:pPr>
              <w:spacing w:before="78" w:beforeLines="25"/>
              <w:rPr>
                <w:rFonts w:ascii="宋体" w:hAnsi="宋体"/>
                <w:szCs w:val="21"/>
              </w:rPr>
            </w:pPr>
          </w:p>
          <w:p>
            <w:pPr>
              <w:spacing w:before="78" w:beforeLines="25"/>
              <w:rPr>
                <w:rFonts w:ascii="宋体" w:hAnsi="宋体"/>
                <w:szCs w:val="21"/>
              </w:rPr>
            </w:pPr>
          </w:p>
          <w:p>
            <w:pPr>
              <w:spacing w:before="78" w:beforeLines="25"/>
              <w:rPr>
                <w:rFonts w:ascii="宋体" w:hAnsi="宋体"/>
                <w:szCs w:val="21"/>
              </w:rPr>
            </w:pPr>
          </w:p>
          <w:p>
            <w:pPr>
              <w:spacing w:before="78" w:beforeLines="25"/>
              <w:rPr>
                <w:rFonts w:ascii="宋体" w:hAnsi="宋体"/>
                <w:szCs w:val="21"/>
              </w:rPr>
            </w:pPr>
          </w:p>
        </w:tc>
      </w:tr>
      <w:tr>
        <w:tblPrEx>
          <w:tblCellMar>
            <w:top w:w="0" w:type="dxa"/>
            <w:left w:w="108" w:type="dxa"/>
            <w:bottom w:w="0" w:type="dxa"/>
            <w:right w:w="108" w:type="dxa"/>
          </w:tblCellMar>
        </w:tblPrEx>
        <w:trPr>
          <w:trHeight w:val="510" w:hRule="exact"/>
        </w:trPr>
        <w:tc>
          <w:tcPr>
            <w:tcW w:w="668" w:type="dxa"/>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2</w:t>
            </w:r>
            <w:r>
              <w:rPr>
                <w:rFonts w:ascii="宋体" w:hAnsi="宋体"/>
                <w:b/>
                <w:sz w:val="24"/>
              </w:rPr>
              <w:t>.</w:t>
            </w:r>
          </w:p>
        </w:tc>
        <w:tc>
          <w:tcPr>
            <w:tcW w:w="9146" w:type="dxa"/>
            <w:gridSpan w:val="2"/>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什么情况我们不赔</w:t>
            </w:r>
          </w:p>
        </w:tc>
      </w:tr>
      <w:tr>
        <w:tblPrEx>
          <w:tblCellMar>
            <w:top w:w="0" w:type="dxa"/>
            <w:left w:w="108" w:type="dxa"/>
            <w:bottom w:w="0" w:type="dxa"/>
            <w:right w:w="108" w:type="dxa"/>
          </w:tblCellMar>
        </w:tblPrEx>
        <w:trPr>
          <w:trHeight w:val="170" w:hRule="exact"/>
        </w:trPr>
        <w:tc>
          <w:tcPr>
            <w:tcW w:w="668" w:type="dxa"/>
            <w:tcBorders>
              <w:top w:val="single" w:color="auto" w:sz="8" w:space="0"/>
            </w:tcBorders>
          </w:tcPr>
          <w:p>
            <w:pPr>
              <w:spacing w:before="78" w:beforeLines="25"/>
              <w:rPr>
                <w:rFonts w:ascii="宋体" w:hAnsi="宋体"/>
              </w:rPr>
            </w:pPr>
          </w:p>
        </w:tc>
        <w:tc>
          <w:tcPr>
            <w:tcW w:w="1555" w:type="dxa"/>
            <w:tcBorders>
              <w:top w:val="single" w:color="auto" w:sz="8" w:space="0"/>
            </w:tcBorders>
          </w:tcPr>
          <w:p>
            <w:pPr>
              <w:spacing w:before="78" w:beforeLines="25"/>
              <w:rPr>
                <w:rFonts w:ascii="宋体" w:hAnsi="宋体"/>
              </w:rPr>
            </w:pPr>
          </w:p>
        </w:tc>
        <w:tc>
          <w:tcPr>
            <w:tcW w:w="7591" w:type="dxa"/>
            <w:tcBorders>
              <w:top w:val="single" w:color="auto" w:sz="8" w:space="0"/>
            </w:tcBorders>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2</w:t>
            </w:r>
            <w:r>
              <w:rPr>
                <w:rFonts w:ascii="宋体" w:hAnsi="宋体"/>
                <w:b/>
              </w:rPr>
              <w:t>.1</w:t>
            </w:r>
          </w:p>
          <w:p>
            <w:pPr>
              <w:spacing w:before="78" w:beforeLines="25"/>
              <w:rPr>
                <w:rFonts w:ascii="楷体" w:hAnsi="楷体" w:eastAsia="楷体"/>
                <w:b/>
              </w:rPr>
            </w:pPr>
          </w:p>
        </w:tc>
        <w:tc>
          <w:tcPr>
            <w:tcW w:w="1555" w:type="dxa"/>
          </w:tcPr>
          <w:p>
            <w:pPr>
              <w:spacing w:before="78" w:beforeLines="25"/>
              <w:jc w:val="left"/>
              <w:rPr>
                <w:rFonts w:asciiTheme="minorEastAsia" w:hAnsiTheme="minorEastAsia" w:eastAsiaTheme="minorEastAsia"/>
                <w:b/>
              </w:rPr>
            </w:pPr>
            <w:r>
              <w:rPr>
                <w:rFonts w:hint="eastAsia" w:asciiTheme="minorEastAsia" w:hAnsiTheme="minorEastAsia" w:eastAsiaTheme="minorEastAsia"/>
                <w:b/>
              </w:rPr>
              <w:t>责任免除</w:t>
            </w:r>
          </w:p>
        </w:tc>
        <w:tc>
          <w:tcPr>
            <w:tcW w:w="7591" w:type="dxa"/>
          </w:tcPr>
          <w:p>
            <w:pPr>
              <w:spacing w:before="78" w:beforeLines="25"/>
              <w:rPr>
                <w:rFonts w:ascii="黑体" w:hAnsi="宋体" w:eastAsia="黑体"/>
              </w:rPr>
            </w:pPr>
            <w:r>
              <w:rPr>
                <w:rFonts w:hint="eastAsia" w:ascii="黑体" w:hAnsi="宋体" w:eastAsia="黑体"/>
              </w:rPr>
              <w:t>因下列情形之一导致被保险人身故的，我们不承担给付身故保险金的责任：</w:t>
            </w:r>
          </w:p>
          <w:p>
            <w:pPr>
              <w:numPr>
                <w:ilvl w:val="0"/>
                <w:numId w:val="1"/>
              </w:numPr>
              <w:tabs>
                <w:tab w:val="center" w:pos="4153"/>
                <w:tab w:val="right" w:pos="8306"/>
              </w:tabs>
              <w:snapToGrid w:val="0"/>
              <w:spacing w:before="78" w:beforeLines="25"/>
              <w:rPr>
                <w:rFonts w:ascii="黑体" w:hAnsi="宋体" w:eastAsia="黑体"/>
                <w:sz w:val="18"/>
              </w:rPr>
            </w:pPr>
            <w:r>
              <w:rPr>
                <w:rFonts w:hint="eastAsia" w:ascii="黑体" w:hAnsi="宋体" w:eastAsia="黑体"/>
              </w:rPr>
              <w:t>投保人对被保险人的故意杀害、故意伤害</w:t>
            </w:r>
            <w:r>
              <w:rPr>
                <w:rFonts w:ascii="黑体" w:hAnsi="宋体" w:eastAsia="黑体"/>
              </w:rPr>
              <w:t>；</w:t>
            </w:r>
          </w:p>
          <w:p>
            <w:pPr>
              <w:numPr>
                <w:ilvl w:val="0"/>
                <w:numId w:val="1"/>
              </w:numPr>
              <w:spacing w:before="78" w:beforeLines="25"/>
              <w:rPr>
                <w:rFonts w:ascii="黑体" w:hAnsi="宋体" w:eastAsia="黑体"/>
              </w:rPr>
            </w:pPr>
            <w:r>
              <w:rPr>
                <w:rFonts w:ascii="黑体" w:hAnsi="宋体" w:eastAsia="黑体"/>
              </w:rPr>
              <w:t>被保险人故意犯罪或</w:t>
            </w:r>
            <w:r>
              <w:rPr>
                <w:rFonts w:hint="eastAsia" w:ascii="黑体" w:hAnsi="宋体" w:eastAsia="黑体"/>
              </w:rPr>
              <w:t>者抗拒依法采取的刑事强制措施；</w:t>
            </w:r>
          </w:p>
          <w:p>
            <w:pPr>
              <w:numPr>
                <w:ilvl w:val="0"/>
                <w:numId w:val="1"/>
              </w:numPr>
              <w:spacing w:before="78" w:beforeLines="25"/>
              <w:rPr>
                <w:rFonts w:ascii="黑体" w:hAnsi="宋体" w:eastAsia="黑体"/>
              </w:rPr>
            </w:pPr>
            <w:r>
              <w:rPr>
                <w:rFonts w:hint="eastAsia" w:ascii="黑体" w:hAnsi="宋体" w:eastAsia="黑体"/>
              </w:rPr>
              <w:t>被保险人自本合同成立或者本合同效力恢复之日起</w:t>
            </w:r>
            <w:r>
              <w:rPr>
                <w:rFonts w:ascii="黑体" w:hAnsi="宋体" w:eastAsia="黑体"/>
              </w:rPr>
              <w:t>2年内自杀，但被保险人自杀时为无民事行为能力人的除外；</w:t>
            </w:r>
          </w:p>
          <w:p>
            <w:pPr>
              <w:numPr>
                <w:ilvl w:val="0"/>
                <w:numId w:val="1"/>
              </w:numPr>
              <w:spacing w:before="78" w:beforeLines="25"/>
              <w:rPr>
                <w:rFonts w:ascii="黑体" w:hAnsi="宋体" w:eastAsia="黑体"/>
              </w:rPr>
            </w:pPr>
            <w:r>
              <w:rPr>
                <w:rFonts w:ascii="黑体" w:hAnsi="宋体" w:eastAsia="黑体"/>
              </w:rPr>
              <w:t>被保险人</w:t>
            </w:r>
            <w:r>
              <w:rPr>
                <w:rFonts w:hint="eastAsia" w:ascii="黑体" w:hAnsi="宋体" w:eastAsia="黑体"/>
              </w:rPr>
              <w:t>服用、吸食或注射</w:t>
            </w:r>
            <w:r>
              <w:rPr>
                <w:rFonts w:ascii="黑体" w:hAnsi="宋体" w:eastAsia="黑体"/>
                <w:b/>
                <w:bCs/>
              </w:rPr>
              <w:t>毒品</w:t>
            </w:r>
            <w:r>
              <w:rPr>
                <w:rStyle w:val="14"/>
                <w:rFonts w:ascii="黑体" w:hAnsi="黑体" w:eastAsia="黑体"/>
                <w:b/>
              </w:rPr>
              <w:footnoteReference w:id="4"/>
            </w:r>
            <w:r>
              <w:rPr>
                <w:rFonts w:ascii="黑体" w:hAnsi="宋体" w:eastAsia="黑体"/>
              </w:rPr>
              <w:t>；</w:t>
            </w:r>
          </w:p>
          <w:p>
            <w:pPr>
              <w:numPr>
                <w:ilvl w:val="0"/>
                <w:numId w:val="1"/>
              </w:numPr>
              <w:spacing w:before="78" w:beforeLines="25"/>
              <w:rPr>
                <w:rFonts w:ascii="黑体" w:hAnsi="宋体" w:eastAsia="黑体"/>
              </w:rPr>
            </w:pPr>
            <w:r>
              <w:rPr>
                <w:rFonts w:hint="eastAsia" w:ascii="黑体" w:hAnsi="宋体" w:eastAsia="黑体"/>
              </w:rPr>
              <w:t>被保险人</w:t>
            </w:r>
            <w:r>
              <w:rPr>
                <w:rFonts w:hint="eastAsia" w:ascii="黑体" w:hAnsi="宋体" w:eastAsia="黑体"/>
                <w:b/>
                <w:bCs/>
              </w:rPr>
              <w:t>酒后驾驶</w:t>
            </w:r>
            <w:r>
              <w:rPr>
                <w:rStyle w:val="14"/>
                <w:rFonts w:ascii="黑体" w:hAnsi="黑体" w:eastAsia="黑体"/>
                <w:b/>
              </w:rPr>
              <w:footnoteReference w:id="5"/>
            </w:r>
            <w:r>
              <w:rPr>
                <w:rFonts w:ascii="黑体" w:hAnsi="宋体" w:eastAsia="黑体"/>
              </w:rPr>
              <w:t>、</w:t>
            </w:r>
            <w:r>
              <w:rPr>
                <w:rFonts w:hint="eastAsia" w:ascii="黑体" w:hAnsi="宋体" w:eastAsia="黑体"/>
                <w:b/>
                <w:bCs/>
              </w:rPr>
              <w:t>无合法有效驾驶证</w:t>
            </w:r>
            <w:r>
              <w:rPr>
                <w:rFonts w:hint="eastAsia" w:ascii="黑体" w:hAnsi="宋体" w:eastAsia="黑体"/>
                <w:b/>
              </w:rPr>
              <w:t>驾驶</w:t>
            </w:r>
            <w:r>
              <w:rPr>
                <w:rStyle w:val="14"/>
                <w:rFonts w:ascii="黑体" w:hAnsi="黑体" w:eastAsia="黑体"/>
                <w:b/>
              </w:rPr>
              <w:footnoteReference w:id="6"/>
            </w:r>
            <w:r>
              <w:rPr>
                <w:rFonts w:ascii="黑体" w:hAnsi="宋体" w:eastAsia="黑体"/>
              </w:rPr>
              <w:t>，或驾驶</w:t>
            </w:r>
            <w:r>
              <w:rPr>
                <w:rFonts w:hint="eastAsia" w:ascii="黑体" w:hAnsi="宋体" w:eastAsia="黑体"/>
                <w:b/>
                <w:bCs/>
              </w:rPr>
              <w:t>无合法有效行驶证</w:t>
            </w:r>
            <w:r>
              <w:rPr>
                <w:rStyle w:val="14"/>
                <w:rFonts w:ascii="黑体" w:hAnsi="黑体" w:eastAsia="黑体"/>
                <w:b/>
              </w:rPr>
              <w:footnoteReference w:id="7"/>
            </w:r>
            <w:r>
              <w:rPr>
                <w:rFonts w:ascii="黑体" w:hAnsi="宋体" w:eastAsia="黑体"/>
              </w:rPr>
              <w:t>的</w:t>
            </w:r>
            <w:r>
              <w:rPr>
                <w:rFonts w:hint="eastAsia" w:ascii="黑体" w:hAnsi="宋体" w:eastAsia="黑体"/>
                <w:b/>
                <w:bCs/>
              </w:rPr>
              <w:t>机动车</w:t>
            </w:r>
            <w:r>
              <w:rPr>
                <w:rStyle w:val="14"/>
                <w:rFonts w:ascii="黑体" w:hAnsi="黑体" w:eastAsia="黑体"/>
                <w:b/>
              </w:rPr>
              <w:footnoteReference w:id="8"/>
            </w:r>
            <w:r>
              <w:rPr>
                <w:rFonts w:ascii="黑体" w:hAnsi="宋体" w:eastAsia="黑体"/>
              </w:rPr>
              <w:t>；</w:t>
            </w:r>
          </w:p>
          <w:p>
            <w:pPr>
              <w:numPr>
                <w:ilvl w:val="0"/>
                <w:numId w:val="1"/>
              </w:numPr>
              <w:spacing w:before="78" w:beforeLines="25"/>
              <w:rPr>
                <w:rFonts w:ascii="黑体" w:hAnsi="宋体" w:eastAsia="黑体"/>
              </w:rPr>
            </w:pPr>
            <w:r>
              <w:rPr>
                <w:rFonts w:hint="eastAsia" w:ascii="黑体" w:hAnsi="宋体" w:eastAsia="黑体"/>
                <w:b/>
              </w:rPr>
              <w:t>战争</w:t>
            </w:r>
            <w:r>
              <w:rPr>
                <w:rStyle w:val="14"/>
                <w:rFonts w:ascii="黑体" w:hAnsi="宋体" w:eastAsia="黑体"/>
                <w:b/>
              </w:rPr>
              <w:footnoteReference w:id="9"/>
            </w:r>
            <w:r>
              <w:rPr>
                <w:rFonts w:hint="eastAsia" w:ascii="黑体" w:hAnsi="宋体" w:eastAsia="黑体"/>
              </w:rPr>
              <w:t>、</w:t>
            </w:r>
            <w:r>
              <w:rPr>
                <w:rFonts w:hint="eastAsia" w:ascii="黑体" w:hAnsi="宋体" w:eastAsia="黑体"/>
                <w:b/>
              </w:rPr>
              <w:t>军事冲突</w:t>
            </w:r>
            <w:r>
              <w:rPr>
                <w:rStyle w:val="14"/>
                <w:rFonts w:ascii="黑体" w:hAnsi="宋体" w:eastAsia="黑体"/>
                <w:b/>
              </w:rPr>
              <w:footnoteReference w:id="10"/>
            </w:r>
            <w:r>
              <w:rPr>
                <w:rFonts w:hint="eastAsia" w:ascii="黑体" w:hAnsi="宋体" w:eastAsia="黑体"/>
              </w:rPr>
              <w:t>、</w:t>
            </w:r>
            <w:r>
              <w:rPr>
                <w:rFonts w:hint="eastAsia" w:ascii="黑体" w:hAnsi="宋体" w:eastAsia="黑体"/>
                <w:b/>
              </w:rPr>
              <w:t>暴乱</w:t>
            </w:r>
            <w:r>
              <w:rPr>
                <w:rStyle w:val="14"/>
                <w:rFonts w:ascii="黑体" w:hAnsi="宋体" w:eastAsia="黑体"/>
                <w:b/>
              </w:rPr>
              <w:footnoteReference w:id="11"/>
            </w:r>
            <w:r>
              <w:rPr>
                <w:rFonts w:hint="eastAsia" w:ascii="黑体" w:hAnsi="宋体" w:eastAsia="黑体"/>
              </w:rPr>
              <w:t>或武装叛乱；</w:t>
            </w:r>
          </w:p>
          <w:p>
            <w:pPr>
              <w:numPr>
                <w:ilvl w:val="0"/>
                <w:numId w:val="1"/>
              </w:numPr>
              <w:spacing w:before="78" w:beforeLines="25"/>
              <w:rPr>
                <w:rFonts w:ascii="黑体" w:hAnsi="宋体" w:eastAsia="黑体"/>
              </w:rPr>
            </w:pPr>
            <w:r>
              <w:rPr>
                <w:rFonts w:ascii="黑体" w:hAnsi="宋体" w:eastAsia="黑体"/>
              </w:rPr>
              <w:t>核爆炸、核辐射或核污染。</w:t>
            </w:r>
          </w:p>
          <w:p>
            <w:pPr>
              <w:spacing w:before="78" w:beforeLines="25"/>
              <w:rPr>
                <w:rFonts w:ascii="黑体" w:hAnsi="宋体" w:eastAsia="黑体"/>
              </w:rPr>
            </w:pPr>
            <w:r>
              <w:rPr>
                <w:rFonts w:hint="eastAsia" w:ascii="黑体" w:hAnsi="宋体" w:eastAsia="黑体"/>
              </w:rPr>
              <w:t>发生上述第1项情形导致被保险人身故的，本合同终止，我们向被保险人的继承人（除投保人本人外）退还本合同的</w:t>
            </w:r>
            <w:r>
              <w:rPr>
                <w:rFonts w:hint="eastAsia" w:ascii="黑体" w:hAnsi="宋体" w:eastAsia="黑体"/>
                <w:b/>
              </w:rPr>
              <w:t>现金价值</w:t>
            </w:r>
            <w:r>
              <w:rPr>
                <w:rStyle w:val="14"/>
                <w:rFonts w:ascii="黑体" w:hAnsi="黑体" w:eastAsia="黑体"/>
                <w:b/>
              </w:rPr>
              <w:footnoteReference w:id="12"/>
            </w:r>
            <w:r>
              <w:rPr>
                <w:rFonts w:hint="eastAsia" w:ascii="黑体" w:hAnsi="宋体" w:eastAsia="黑体"/>
              </w:rPr>
              <w:t xml:space="preserve">。 </w:t>
            </w:r>
          </w:p>
          <w:p>
            <w:pPr>
              <w:spacing w:before="78" w:beforeLines="25"/>
              <w:rPr>
                <w:rFonts w:ascii="黑体" w:hAnsi="宋体" w:eastAsia="黑体"/>
              </w:rPr>
            </w:pPr>
            <w:r>
              <w:rPr>
                <w:rFonts w:hint="eastAsia" w:ascii="黑体" w:hAnsi="宋体" w:eastAsia="黑体"/>
              </w:rPr>
              <w:t>发生上述其他情形导致被保险人身故的，本合同终止，我们向您退还本合同的现金价值。</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rPr>
                <w:rFonts w:asciiTheme="minorEastAsia" w:hAnsiTheme="minorEastAsia" w:eastAsiaTheme="minorEastAsia"/>
                <w:b/>
              </w:rPr>
            </w:pPr>
          </w:p>
        </w:tc>
        <w:tc>
          <w:tcPr>
            <w:tcW w:w="7591" w:type="dxa"/>
          </w:tcPr>
          <w:p>
            <w:pPr>
              <w:spacing w:before="78" w:beforeLines="25"/>
              <w:rPr>
                <w:rFonts w:ascii="黑体" w:hAnsi="宋体" w:eastAsia="黑体" w:cs="Arial"/>
                <w:szCs w:val="21"/>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ascii="宋体" w:hAnsi="宋体"/>
                <w:b/>
              </w:rPr>
              <w:t>2.2</w:t>
            </w:r>
          </w:p>
        </w:tc>
        <w:tc>
          <w:tcPr>
            <w:tcW w:w="1555" w:type="dxa"/>
          </w:tcPr>
          <w:p>
            <w:pPr>
              <w:spacing w:before="78" w:beforeLines="25"/>
              <w:rPr>
                <w:rFonts w:asciiTheme="minorEastAsia" w:hAnsiTheme="minorEastAsia" w:eastAsiaTheme="minorEastAsia"/>
                <w:b/>
              </w:rPr>
            </w:pPr>
            <w:r>
              <w:rPr>
                <w:rFonts w:hint="eastAsia" w:asciiTheme="minorEastAsia" w:hAnsiTheme="minorEastAsia" w:eastAsiaTheme="minorEastAsia"/>
                <w:b/>
              </w:rPr>
              <w:t>其他免责条款</w:t>
            </w:r>
          </w:p>
        </w:tc>
        <w:tc>
          <w:tcPr>
            <w:tcW w:w="7591" w:type="dxa"/>
          </w:tcPr>
          <w:p>
            <w:pPr>
              <w:spacing w:before="78" w:beforeLines="25"/>
              <w:rPr>
                <w:rFonts w:ascii="黑体" w:hAnsi="黑体" w:eastAsia="黑体"/>
              </w:rPr>
            </w:pPr>
            <w:r>
              <w:rPr>
                <w:rFonts w:hint="eastAsia" w:ascii="黑体" w:hAnsi="宋体" w:eastAsia="黑体" w:cs="Arial"/>
                <w:szCs w:val="21"/>
              </w:rPr>
              <w:t>除本条款“2</w:t>
            </w:r>
            <w:r>
              <w:rPr>
                <w:rFonts w:ascii="黑体" w:hAnsi="宋体" w:eastAsia="黑体" w:cs="Arial"/>
                <w:szCs w:val="21"/>
              </w:rPr>
              <w:t>.1</w:t>
            </w:r>
            <w:r>
              <w:rPr>
                <w:rFonts w:hint="eastAsia" w:ascii="黑体" w:hAnsi="宋体" w:eastAsia="黑体" w:cs="Arial"/>
                <w:szCs w:val="21"/>
              </w:rPr>
              <w:t>责任免除”外，本合同中还有一些免除我们责任的条款，如“3.</w:t>
            </w:r>
            <w:r>
              <w:rPr>
                <w:rFonts w:ascii="黑体" w:hAnsi="宋体" w:eastAsia="黑体" w:cs="Arial"/>
                <w:szCs w:val="21"/>
              </w:rPr>
              <w:t>2</w:t>
            </w:r>
            <w:r>
              <w:rPr>
                <w:rFonts w:hint="eastAsia" w:ascii="黑体" w:hAnsi="宋体" w:eastAsia="黑体" w:cs="Arial"/>
                <w:szCs w:val="21"/>
              </w:rPr>
              <w:t>效力中止与恢复”、“8.</w:t>
            </w:r>
            <w:r>
              <w:rPr>
                <w:rFonts w:ascii="黑体" w:hAnsi="宋体" w:eastAsia="黑体" w:cs="Arial"/>
                <w:szCs w:val="21"/>
              </w:rPr>
              <w:t>4</w:t>
            </w:r>
            <w:r>
              <w:rPr>
                <w:rFonts w:hint="eastAsia" w:ascii="黑体" w:hAnsi="宋体" w:eastAsia="黑体" w:cs="Arial"/>
                <w:szCs w:val="21"/>
              </w:rPr>
              <w:t>年龄性别错误的处理”及其他以黑体字体显示的内容。</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rPr>
                <w:rFonts w:asciiTheme="minorEastAsia" w:hAnsiTheme="minorEastAsia" w:eastAsiaTheme="minorEastAsia"/>
                <w:b/>
              </w:rPr>
            </w:pPr>
          </w:p>
        </w:tc>
        <w:tc>
          <w:tcPr>
            <w:tcW w:w="7591" w:type="dxa"/>
          </w:tcPr>
          <w:p>
            <w:pPr>
              <w:spacing w:before="78" w:beforeLines="25"/>
              <w:rPr>
                <w:rFonts w:ascii="黑体" w:hAnsi="黑体" w:eastAsia="黑体"/>
              </w:rPr>
            </w:pPr>
          </w:p>
        </w:tc>
      </w:tr>
      <w:tr>
        <w:tblPrEx>
          <w:tblCellMar>
            <w:top w:w="0" w:type="dxa"/>
            <w:left w:w="108" w:type="dxa"/>
            <w:bottom w:w="0" w:type="dxa"/>
            <w:right w:w="108" w:type="dxa"/>
          </w:tblCellMar>
        </w:tblPrEx>
        <w:trPr>
          <w:trHeight w:val="510" w:hRule="exact"/>
        </w:trPr>
        <w:tc>
          <w:tcPr>
            <w:tcW w:w="668" w:type="dxa"/>
            <w:shd w:val="clear" w:color="auto" w:fill="auto"/>
            <w:vAlign w:val="center"/>
          </w:tcPr>
          <w:p>
            <w:pPr>
              <w:spacing w:before="78" w:beforeLines="25"/>
              <w:rPr>
                <w:rFonts w:ascii="宋体" w:hAnsi="宋体"/>
                <w:b/>
                <w:sz w:val="24"/>
              </w:rPr>
            </w:pPr>
            <w:r>
              <w:rPr>
                <w:rFonts w:hint="eastAsia" w:ascii="宋体" w:hAnsi="宋体"/>
                <w:b/>
                <w:sz w:val="24"/>
              </w:rPr>
              <w:t>3</w:t>
            </w:r>
            <w:r>
              <w:rPr>
                <w:rFonts w:ascii="宋体" w:hAnsi="宋体"/>
                <w:b/>
                <w:sz w:val="24"/>
              </w:rPr>
              <w:t>.</w:t>
            </w:r>
          </w:p>
        </w:tc>
        <w:tc>
          <w:tcPr>
            <w:tcW w:w="9146" w:type="dxa"/>
            <w:gridSpan w:val="2"/>
            <w:shd w:val="clear" w:color="auto" w:fill="auto"/>
            <w:vAlign w:val="center"/>
          </w:tcPr>
          <w:p>
            <w:pPr>
              <w:spacing w:before="78" w:beforeLines="25"/>
              <w:rPr>
                <w:rFonts w:ascii="宋体" w:hAnsi="宋体"/>
                <w:b/>
                <w:sz w:val="24"/>
              </w:rPr>
            </w:pPr>
            <w:r>
              <w:rPr>
                <w:rFonts w:hint="eastAsia" w:ascii="宋体" w:hAnsi="宋体"/>
                <w:b/>
                <w:sz w:val="24"/>
              </w:rPr>
              <w:t>如何支付保险费</w:t>
            </w:r>
          </w:p>
        </w:tc>
      </w:tr>
      <w:tr>
        <w:tblPrEx>
          <w:tblCellMar>
            <w:top w:w="0" w:type="dxa"/>
            <w:left w:w="108" w:type="dxa"/>
            <w:bottom w:w="0" w:type="dxa"/>
            <w:right w:w="108" w:type="dxa"/>
          </w:tblCellMar>
        </w:tblPrEx>
        <w:trPr>
          <w:trHeight w:val="170" w:hRule="exact"/>
        </w:trPr>
        <w:tc>
          <w:tcPr>
            <w:tcW w:w="668" w:type="dxa"/>
            <w:tcBorders>
              <w:top w:val="single" w:color="auto" w:sz="8" w:space="0"/>
            </w:tcBorders>
          </w:tcPr>
          <w:p>
            <w:pPr>
              <w:spacing w:before="78" w:beforeLines="25"/>
              <w:rPr>
                <w:rFonts w:ascii="宋体" w:hAnsi="宋体"/>
              </w:rPr>
            </w:pPr>
          </w:p>
        </w:tc>
        <w:tc>
          <w:tcPr>
            <w:tcW w:w="1555" w:type="dxa"/>
            <w:tcBorders>
              <w:top w:val="single" w:color="auto" w:sz="8" w:space="0"/>
            </w:tcBorders>
          </w:tcPr>
          <w:p>
            <w:pPr>
              <w:spacing w:before="78" w:beforeLines="25"/>
              <w:rPr>
                <w:rFonts w:ascii="宋体" w:hAnsi="宋体"/>
              </w:rPr>
            </w:pPr>
          </w:p>
        </w:tc>
        <w:tc>
          <w:tcPr>
            <w:tcW w:w="7591" w:type="dxa"/>
            <w:tcBorders>
              <w:top w:val="single" w:color="auto" w:sz="8" w:space="0"/>
            </w:tcBorders>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3</w:t>
            </w:r>
            <w:r>
              <w:rPr>
                <w:rFonts w:ascii="宋体" w:hAnsi="宋体"/>
                <w:b/>
              </w:rPr>
              <w:t>.1</w:t>
            </w:r>
          </w:p>
        </w:tc>
        <w:tc>
          <w:tcPr>
            <w:tcW w:w="1555" w:type="dxa"/>
          </w:tcPr>
          <w:p>
            <w:pPr>
              <w:spacing w:before="78" w:beforeLines="25"/>
              <w:jc w:val="left"/>
              <w:rPr>
                <w:rFonts w:ascii="宋体" w:hAnsi="宋体"/>
                <w:b/>
              </w:rPr>
            </w:pPr>
            <w:r>
              <w:rPr>
                <w:rFonts w:hint="eastAsia" w:ascii="宋体" w:hAnsi="宋体"/>
                <w:b/>
              </w:rPr>
              <w:t>保险费的支付</w:t>
            </w:r>
          </w:p>
        </w:tc>
        <w:tc>
          <w:tcPr>
            <w:tcW w:w="7591" w:type="dxa"/>
          </w:tcPr>
          <w:p>
            <w:pPr>
              <w:spacing w:before="78" w:beforeLines="25"/>
              <w:rPr>
                <w:rFonts w:ascii="宋体" w:hAnsi="宋体"/>
              </w:rPr>
            </w:pPr>
            <w:r>
              <w:rPr>
                <w:rFonts w:hint="eastAsia" w:ascii="宋体" w:hAnsi="宋体"/>
                <w:szCs w:val="21"/>
              </w:rPr>
              <w:t>本合同的保险费分为转入保险费、趸交保险费和追加保险费，扣除初始费用后的保险费计入保单账户价值。</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Theme="minorEastAsia" w:hAnsiTheme="minorEastAsia" w:eastAsiaTheme="minorEastAsia"/>
                <w:b/>
              </w:rPr>
            </w:pPr>
          </w:p>
        </w:tc>
        <w:tc>
          <w:tcPr>
            <w:tcW w:w="7591" w:type="dxa"/>
          </w:tcPr>
          <w:p>
            <w:pPr>
              <w:spacing w:before="78" w:beforeLines="25"/>
              <w:rPr>
                <w:rFonts w:ascii="黑体" w:hAnsi="黑体" w:eastAsia="黑体"/>
              </w:rPr>
            </w:pPr>
          </w:p>
        </w:tc>
      </w:tr>
      <w:tr>
        <w:tblPrEx>
          <w:tblCellMar>
            <w:top w:w="0" w:type="dxa"/>
            <w:left w:w="108" w:type="dxa"/>
            <w:bottom w:w="0" w:type="dxa"/>
            <w:right w:w="108" w:type="dxa"/>
          </w:tblCellMar>
        </w:tblPrEx>
        <w:tc>
          <w:tcPr>
            <w:tcW w:w="668" w:type="dxa"/>
          </w:tcPr>
          <w:p>
            <w:pPr>
              <w:spacing w:before="78" w:beforeLines="25"/>
              <w:rPr>
                <w:rFonts w:ascii="宋体" w:hAnsi="宋体"/>
              </w:rPr>
            </w:pPr>
          </w:p>
        </w:tc>
        <w:tc>
          <w:tcPr>
            <w:tcW w:w="1555" w:type="dxa"/>
          </w:tcPr>
          <w:p>
            <w:pPr>
              <w:spacing w:before="78" w:beforeLines="25"/>
              <w:jc w:val="left"/>
              <w:rPr>
                <w:rFonts w:asciiTheme="minorEastAsia" w:hAnsiTheme="minorEastAsia" w:eastAsiaTheme="minorEastAsia"/>
                <w:b/>
              </w:rPr>
            </w:pPr>
            <w:r>
              <w:rPr>
                <w:rFonts w:hint="eastAsia" w:asciiTheme="minorEastAsia" w:hAnsiTheme="minorEastAsia" w:eastAsiaTheme="minorEastAsia"/>
                <w:b/>
              </w:rPr>
              <w:t>转入保险费</w:t>
            </w:r>
          </w:p>
        </w:tc>
        <w:tc>
          <w:tcPr>
            <w:tcW w:w="7591" w:type="dxa"/>
          </w:tcPr>
          <w:p>
            <w:pPr>
              <w:spacing w:before="78" w:beforeLines="25"/>
              <w:rPr>
                <w:rFonts w:ascii="宋体" w:hAnsi="宋体"/>
                <w:szCs w:val="21"/>
              </w:rPr>
            </w:pPr>
            <w:r>
              <w:rPr>
                <w:rFonts w:hint="eastAsia" w:ascii="宋体" w:hAnsi="宋体"/>
                <w:szCs w:val="21"/>
              </w:rPr>
              <w:t>转入保险费指按保险单上载明的其他保险合同约定转入的保险金及保单红利（如果有）</w:t>
            </w:r>
            <w:r>
              <w:rPr>
                <w:rFonts w:hint="eastAsia" w:cs="F3" w:asciiTheme="majorEastAsia" w:hAnsiTheme="majorEastAsia" w:eastAsiaTheme="majorEastAsia"/>
                <w:kern w:val="0"/>
                <w:szCs w:val="21"/>
              </w:rPr>
              <w:t>，由您在投保时与我们约定，并在保险单上载明</w:t>
            </w:r>
            <w:r>
              <w:rPr>
                <w:rFonts w:hint="eastAsia" w:ascii="宋体" w:hAnsi="宋体"/>
                <w:szCs w:val="21"/>
              </w:rPr>
              <w:t>。</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rPr>
            </w:pPr>
          </w:p>
        </w:tc>
        <w:tc>
          <w:tcPr>
            <w:tcW w:w="1555" w:type="dxa"/>
          </w:tcPr>
          <w:p>
            <w:pPr>
              <w:spacing w:before="78" w:beforeLines="25"/>
              <w:jc w:val="left"/>
              <w:rPr>
                <w:rFonts w:ascii="宋体" w:hAnsi="宋体"/>
              </w:rPr>
            </w:pPr>
          </w:p>
        </w:tc>
        <w:tc>
          <w:tcPr>
            <w:tcW w:w="7591" w:type="dxa"/>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rPr>
            </w:pPr>
          </w:p>
        </w:tc>
        <w:tc>
          <w:tcPr>
            <w:tcW w:w="1555" w:type="dxa"/>
          </w:tcPr>
          <w:p>
            <w:pPr>
              <w:spacing w:before="78" w:beforeLines="25"/>
              <w:jc w:val="left"/>
              <w:rPr>
                <w:rFonts w:asciiTheme="minorEastAsia" w:hAnsiTheme="minorEastAsia" w:eastAsiaTheme="minorEastAsia"/>
              </w:rPr>
            </w:pPr>
            <w:r>
              <w:rPr>
                <w:rFonts w:hint="eastAsia" w:asciiTheme="minorEastAsia" w:hAnsiTheme="minorEastAsia" w:eastAsiaTheme="minorEastAsia"/>
                <w:b/>
              </w:rPr>
              <w:t>趸交保险费</w:t>
            </w:r>
          </w:p>
        </w:tc>
        <w:tc>
          <w:tcPr>
            <w:tcW w:w="7591" w:type="dxa"/>
          </w:tcPr>
          <w:p>
            <w:pPr>
              <w:spacing w:before="78" w:beforeLines="25"/>
              <w:rPr>
                <w:rFonts w:ascii="宋体" w:hAnsi="宋体"/>
                <w:szCs w:val="21"/>
              </w:rPr>
            </w:pPr>
            <w:r>
              <w:rPr>
                <w:rFonts w:hint="eastAsia" w:ascii="宋体" w:hAnsi="宋体"/>
                <w:szCs w:val="21"/>
              </w:rPr>
              <w:t>本合同的趸交保险费由您在投保时一次性支付，支付金额由您在投保时与我们约定，并在保险单上载明。</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Theme="minorEastAsia" w:hAnsiTheme="minorEastAsia" w:eastAsiaTheme="minorEastAsia"/>
                <w:b/>
              </w:rPr>
            </w:pPr>
          </w:p>
        </w:tc>
        <w:tc>
          <w:tcPr>
            <w:tcW w:w="7591" w:type="dxa"/>
          </w:tcPr>
          <w:p>
            <w:pPr>
              <w:spacing w:before="78" w:beforeLines="25"/>
              <w:rPr>
                <w:rFonts w:ascii="黑体" w:hAnsi="黑体" w:eastAsia="黑体"/>
              </w:rPr>
            </w:pPr>
          </w:p>
        </w:tc>
      </w:tr>
      <w:tr>
        <w:tblPrEx>
          <w:tblCellMar>
            <w:top w:w="0" w:type="dxa"/>
            <w:left w:w="108" w:type="dxa"/>
            <w:bottom w:w="0" w:type="dxa"/>
            <w:right w:w="108" w:type="dxa"/>
          </w:tblCellMar>
        </w:tblPrEx>
        <w:trPr>
          <w:trHeight w:val="170" w:hRule="atLeast"/>
        </w:trPr>
        <w:tc>
          <w:tcPr>
            <w:tcW w:w="668" w:type="dxa"/>
          </w:tcPr>
          <w:p>
            <w:pPr>
              <w:spacing w:before="78" w:beforeLines="25"/>
              <w:rPr>
                <w:rFonts w:ascii="宋体" w:hAnsi="宋体"/>
                <w:b/>
              </w:rPr>
            </w:pPr>
          </w:p>
        </w:tc>
        <w:tc>
          <w:tcPr>
            <w:tcW w:w="1555" w:type="dxa"/>
          </w:tcPr>
          <w:p>
            <w:pPr>
              <w:spacing w:before="78" w:beforeLines="25"/>
              <w:jc w:val="left"/>
              <w:rPr>
                <w:rFonts w:asciiTheme="minorEastAsia" w:hAnsiTheme="minorEastAsia" w:eastAsiaTheme="minorEastAsia"/>
                <w:b/>
              </w:rPr>
            </w:pPr>
          </w:p>
        </w:tc>
        <w:tc>
          <w:tcPr>
            <w:tcW w:w="7591" w:type="dxa"/>
          </w:tcPr>
          <w:p>
            <w:pPr>
              <w:spacing w:before="78" w:beforeLines="25"/>
              <w:rPr>
                <w:rFonts w:ascii="黑体" w:hAnsi="黑体" w:eastAsia="黑体"/>
              </w:rPr>
            </w:pPr>
            <w:r>
              <w:rPr>
                <w:rFonts w:hint="eastAsia" w:ascii="宋体" w:hAnsi="宋体"/>
                <w:szCs w:val="21"/>
              </w:rPr>
              <w:t>（此页正文完）</w:t>
            </w:r>
          </w:p>
        </w:tc>
      </w:tr>
      <w:tr>
        <w:tblPrEx>
          <w:tblCellMar>
            <w:top w:w="0" w:type="dxa"/>
            <w:left w:w="108" w:type="dxa"/>
            <w:bottom w:w="0" w:type="dxa"/>
            <w:right w:w="108" w:type="dxa"/>
          </w:tblCellMar>
        </w:tblPrEx>
        <w:tc>
          <w:tcPr>
            <w:tcW w:w="668" w:type="dxa"/>
          </w:tcPr>
          <w:p>
            <w:pPr>
              <w:spacing w:before="78" w:beforeLines="25"/>
              <w:rPr>
                <w:rFonts w:ascii="宋体" w:hAnsi="宋体"/>
              </w:rPr>
            </w:pPr>
          </w:p>
        </w:tc>
        <w:tc>
          <w:tcPr>
            <w:tcW w:w="1555" w:type="dxa"/>
          </w:tcPr>
          <w:p>
            <w:pPr>
              <w:spacing w:before="78" w:beforeLines="25"/>
              <w:jc w:val="left"/>
              <w:rPr>
                <w:rFonts w:asciiTheme="minorEastAsia" w:hAnsiTheme="minorEastAsia" w:eastAsiaTheme="minorEastAsia"/>
              </w:rPr>
            </w:pPr>
            <w:r>
              <w:rPr>
                <w:rFonts w:hint="eastAsia" w:asciiTheme="minorEastAsia" w:hAnsiTheme="minorEastAsia" w:eastAsiaTheme="minorEastAsia"/>
                <w:b/>
              </w:rPr>
              <w:t>追加保险费</w:t>
            </w:r>
          </w:p>
        </w:tc>
        <w:tc>
          <w:tcPr>
            <w:tcW w:w="7591" w:type="dxa"/>
          </w:tcPr>
          <w:p>
            <w:pPr>
              <w:spacing w:before="78" w:beforeLines="25"/>
              <w:rPr>
                <w:rFonts w:ascii="宋体" w:hAnsi="宋体"/>
              </w:rPr>
            </w:pPr>
            <w:r>
              <w:rPr>
                <w:rFonts w:hint="eastAsia" w:ascii="宋体" w:hAnsi="宋体"/>
                <w:szCs w:val="21"/>
              </w:rPr>
              <w:t>在本合同保险期间内，您可以申请追加保险费，每次追加保险费须符合当时我们的规定，经我们审核同意后为您办理。我们有权调整追加保险费的规定，您可以向服务场所工作人员咨询当时适用的规定。</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Theme="minorEastAsia" w:hAnsiTheme="minorEastAsia" w:eastAsiaTheme="minorEastAsia"/>
                <w:b/>
              </w:rPr>
            </w:pPr>
          </w:p>
        </w:tc>
        <w:tc>
          <w:tcPr>
            <w:tcW w:w="7591" w:type="dxa"/>
          </w:tcPr>
          <w:p>
            <w:pPr>
              <w:spacing w:before="78" w:beforeLines="25"/>
              <w:rPr>
                <w:rFonts w:ascii="黑体" w:hAnsi="黑体" w:eastAsia="黑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3</w:t>
            </w:r>
            <w:r>
              <w:rPr>
                <w:rFonts w:ascii="宋体" w:hAnsi="宋体"/>
                <w:b/>
              </w:rPr>
              <w:t>.2</w:t>
            </w:r>
          </w:p>
        </w:tc>
        <w:tc>
          <w:tcPr>
            <w:tcW w:w="1555" w:type="dxa"/>
          </w:tcPr>
          <w:p>
            <w:pPr>
              <w:spacing w:before="78" w:beforeLines="25"/>
              <w:jc w:val="left"/>
              <w:rPr>
                <w:rFonts w:ascii="宋体" w:hAnsi="宋体"/>
                <w:b/>
              </w:rPr>
            </w:pPr>
            <w:r>
              <w:rPr>
                <w:rFonts w:hint="eastAsia" w:ascii="宋体" w:hAnsi="宋体"/>
                <w:b/>
              </w:rPr>
              <w:t>效力中止与恢复</w:t>
            </w:r>
          </w:p>
        </w:tc>
        <w:tc>
          <w:tcPr>
            <w:tcW w:w="7591" w:type="dxa"/>
          </w:tcPr>
          <w:p>
            <w:pPr>
              <w:spacing w:before="78" w:beforeLines="25"/>
              <w:rPr>
                <w:rFonts w:ascii="黑体" w:hAnsi="黑体" w:eastAsia="黑体"/>
                <w:szCs w:val="21"/>
              </w:rPr>
            </w:pPr>
            <w:r>
              <w:rPr>
                <w:rFonts w:hint="eastAsia" w:ascii="宋体" w:hAnsi="宋体"/>
                <w:szCs w:val="21"/>
              </w:rPr>
              <w:t>当本合同效力中止时，保单账户价值将分成两个阶段进行计算，第一个阶段为本合同效力中止日的前一个结算日到本合同的效力中止日，保单账户价值按本合同约定的保单账户最低保证利率进行累积，第二个阶段为本合同效力中止期间，</w:t>
            </w:r>
            <w:r>
              <w:rPr>
                <w:rFonts w:hint="eastAsia" w:ascii="黑体" w:hAnsi="黑体" w:eastAsia="黑体"/>
                <w:szCs w:val="21"/>
              </w:rPr>
              <w:t>保单账户价值不再进行累积，且本公司在本合同效力中止期间不承担</w:t>
            </w:r>
            <w:r>
              <w:rPr>
                <w:rFonts w:ascii="黑体" w:hAnsi="黑体" w:eastAsia="黑体"/>
                <w:szCs w:val="21"/>
              </w:rPr>
              <w:t>保险责任。</w:t>
            </w:r>
          </w:p>
          <w:p>
            <w:pPr>
              <w:spacing w:before="78" w:beforeLines="25"/>
              <w:rPr>
                <w:rFonts w:ascii="宋体" w:hAnsi="宋体"/>
              </w:rPr>
            </w:pPr>
            <w:r>
              <w:rPr>
                <w:rFonts w:hint="eastAsia" w:ascii="宋体" w:hAnsi="宋体"/>
              </w:rPr>
              <w:t>本合同效力中止之日起2年内，您可以申请恢复合同效力。经您与我们协商并达成协议，自您补交保险费之日起，本合同效力恢复。前述保险费在扣除初始费用后计入保单账户价值。</w:t>
            </w:r>
          </w:p>
          <w:p>
            <w:pPr>
              <w:spacing w:before="78" w:beforeLines="25"/>
              <w:rPr>
                <w:rFonts w:ascii="宋体" w:hAnsi="宋体"/>
              </w:rPr>
            </w:pPr>
            <w:r>
              <w:rPr>
                <w:rFonts w:hint="eastAsia" w:ascii="黑体" w:hAnsi="黑体" w:eastAsia="黑体"/>
              </w:rPr>
              <w:t>自本合同效力中止之日起满2年您与我们未达成协议的，我们有权解除合同。我们解除本合同的，向您退还本合同中止之日本合同的现金价值。</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Theme="minorEastAsia" w:hAnsiTheme="minorEastAsia" w:eastAsiaTheme="minorEastAsia"/>
                <w:b/>
              </w:rPr>
            </w:pPr>
          </w:p>
        </w:tc>
        <w:tc>
          <w:tcPr>
            <w:tcW w:w="7591" w:type="dxa"/>
          </w:tcPr>
          <w:p>
            <w:pPr>
              <w:spacing w:before="78" w:beforeLines="25"/>
              <w:rPr>
                <w:rFonts w:ascii="黑体" w:hAnsi="黑体" w:eastAsia="黑体"/>
              </w:rPr>
            </w:pPr>
          </w:p>
        </w:tc>
      </w:tr>
      <w:tr>
        <w:tblPrEx>
          <w:tblCellMar>
            <w:top w:w="0" w:type="dxa"/>
            <w:left w:w="108" w:type="dxa"/>
            <w:bottom w:w="0" w:type="dxa"/>
            <w:right w:w="108" w:type="dxa"/>
          </w:tblCellMar>
        </w:tblPrEx>
        <w:tc>
          <w:tcPr>
            <w:tcW w:w="668" w:type="dxa"/>
            <w:tcBorders>
              <w:bottom w:val="single" w:color="auto" w:sz="4" w:space="0"/>
            </w:tcBorders>
            <w:vAlign w:val="center"/>
          </w:tcPr>
          <w:p>
            <w:pPr>
              <w:spacing w:before="78" w:beforeLines="25"/>
              <w:rPr>
                <w:rFonts w:ascii="宋体" w:hAnsi="宋体"/>
                <w:b/>
                <w:sz w:val="24"/>
              </w:rPr>
            </w:pPr>
            <w:r>
              <w:rPr>
                <w:rFonts w:hint="eastAsia" w:ascii="宋体" w:hAnsi="宋体"/>
                <w:b/>
                <w:sz w:val="24"/>
              </w:rPr>
              <w:t>4</w:t>
            </w:r>
            <w:r>
              <w:rPr>
                <w:rFonts w:ascii="宋体" w:hAnsi="宋体"/>
                <w:b/>
                <w:sz w:val="24"/>
              </w:rPr>
              <w:t>.</w:t>
            </w:r>
          </w:p>
        </w:tc>
        <w:tc>
          <w:tcPr>
            <w:tcW w:w="9146" w:type="dxa"/>
            <w:gridSpan w:val="2"/>
            <w:tcBorders>
              <w:bottom w:val="single" w:color="auto" w:sz="4" w:space="0"/>
            </w:tcBorders>
          </w:tcPr>
          <w:p>
            <w:pPr>
              <w:spacing w:before="78" w:beforeLines="25"/>
              <w:rPr>
                <w:rFonts w:ascii="宋体" w:hAnsi="宋体"/>
                <w:b/>
                <w:sz w:val="24"/>
              </w:rPr>
            </w:pPr>
            <w:r>
              <w:rPr>
                <w:rFonts w:hint="eastAsia" w:ascii="宋体" w:hAnsi="宋体"/>
                <w:b/>
                <w:sz w:val="24"/>
              </w:rPr>
              <w:t>保单账户的运作管理</w:t>
            </w:r>
          </w:p>
        </w:tc>
      </w:tr>
      <w:tr>
        <w:tblPrEx>
          <w:tblCellMar>
            <w:top w:w="0" w:type="dxa"/>
            <w:left w:w="108" w:type="dxa"/>
            <w:bottom w:w="0" w:type="dxa"/>
            <w:right w:w="108" w:type="dxa"/>
          </w:tblCellMar>
        </w:tblPrEx>
        <w:trPr>
          <w:trHeight w:val="170" w:hRule="exact"/>
        </w:trPr>
        <w:tc>
          <w:tcPr>
            <w:tcW w:w="668" w:type="dxa"/>
            <w:tcBorders>
              <w:top w:val="single" w:color="auto" w:sz="4" w:space="0"/>
            </w:tcBorders>
          </w:tcPr>
          <w:p>
            <w:pPr>
              <w:spacing w:before="78" w:beforeLines="25"/>
              <w:rPr>
                <w:rFonts w:ascii="宋体" w:hAnsi="宋体"/>
                <w:b/>
              </w:rPr>
            </w:pPr>
          </w:p>
        </w:tc>
        <w:tc>
          <w:tcPr>
            <w:tcW w:w="1555" w:type="dxa"/>
            <w:tcBorders>
              <w:top w:val="single" w:color="auto" w:sz="4" w:space="0"/>
            </w:tcBorders>
          </w:tcPr>
          <w:p>
            <w:pPr>
              <w:spacing w:before="78" w:beforeLines="25"/>
              <w:rPr>
                <w:rFonts w:asciiTheme="minorEastAsia" w:hAnsiTheme="minorEastAsia" w:eastAsiaTheme="minorEastAsia"/>
                <w:b/>
              </w:rPr>
            </w:pPr>
          </w:p>
        </w:tc>
        <w:tc>
          <w:tcPr>
            <w:tcW w:w="7591" w:type="dxa"/>
            <w:tcBorders>
              <w:top w:val="single" w:color="auto" w:sz="4" w:space="0"/>
            </w:tcBorders>
          </w:tcPr>
          <w:p>
            <w:pPr>
              <w:spacing w:before="78" w:beforeLines="25"/>
              <w:rPr>
                <w:rFonts w:ascii="黑体" w:hAnsi="黑体" w:eastAsia="黑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4.1</w:t>
            </w:r>
          </w:p>
        </w:tc>
        <w:tc>
          <w:tcPr>
            <w:tcW w:w="1555" w:type="dxa"/>
          </w:tcPr>
          <w:p>
            <w:pPr>
              <w:spacing w:before="78" w:beforeLines="25"/>
              <w:jc w:val="left"/>
              <w:rPr>
                <w:rFonts w:asciiTheme="minorEastAsia" w:hAnsiTheme="minorEastAsia" w:eastAsiaTheme="minorEastAsia"/>
                <w:b/>
              </w:rPr>
            </w:pPr>
            <w:r>
              <w:rPr>
                <w:rFonts w:hint="eastAsia" w:ascii="宋体" w:hAnsi="宋体"/>
                <w:b/>
              </w:rPr>
              <w:t>保单账户与保单账户价值</w:t>
            </w:r>
          </w:p>
        </w:tc>
        <w:tc>
          <w:tcPr>
            <w:tcW w:w="7591" w:type="dxa"/>
          </w:tcPr>
          <w:p>
            <w:pPr>
              <w:spacing w:before="78" w:beforeLines="25"/>
              <w:rPr>
                <w:rFonts w:ascii="宋体" w:hAnsi="宋体"/>
                <w:szCs w:val="21"/>
              </w:rPr>
            </w:pPr>
            <w:r>
              <w:rPr>
                <w:rFonts w:hint="eastAsia" w:ascii="宋体" w:hAnsi="宋体"/>
                <w:szCs w:val="21"/>
              </w:rPr>
              <w:t>我们于本合同生效日设立保单账户，用于记录本合同的保单账户价值。</w:t>
            </w:r>
          </w:p>
          <w:p>
            <w:pPr>
              <w:spacing w:before="78" w:beforeLines="25"/>
              <w:rPr>
                <w:rFonts w:ascii="宋体" w:hAnsi="宋体"/>
                <w:szCs w:val="21"/>
              </w:rPr>
            </w:pPr>
            <w:r>
              <w:rPr>
                <w:rFonts w:hint="eastAsia" w:ascii="宋体" w:hAnsi="宋体"/>
                <w:szCs w:val="21"/>
              </w:rPr>
              <w:t>在本合同保险期间内，保单账户价值随着扣除初始费用后的保险费、保单账户利息及持续奖金计入保单账户而增加；随着养老保险金的领取、保单账户价值的部分领取而减少。</w:t>
            </w:r>
          </w:p>
          <w:p>
            <w:pPr>
              <w:spacing w:before="78" w:beforeLines="25"/>
              <w:rPr>
                <w:rFonts w:ascii="黑体" w:hAnsi="黑体" w:eastAsia="黑体"/>
              </w:rPr>
            </w:pPr>
            <w:r>
              <w:rPr>
                <w:rFonts w:hint="eastAsia" w:ascii="宋体" w:hAnsi="宋体"/>
                <w:szCs w:val="21"/>
              </w:rPr>
              <w:t>在</w:t>
            </w:r>
            <w:r>
              <w:rPr>
                <w:rFonts w:hint="eastAsia" w:ascii="宋体" w:hAnsi="宋体"/>
              </w:rPr>
              <w:t>每一保单年度，我们将向您提供一份保单年度报告，告知您保单账户价值的具体状况。</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宋体" w:hAnsi="宋体"/>
                <w:b/>
              </w:rPr>
            </w:pPr>
          </w:p>
        </w:tc>
        <w:tc>
          <w:tcPr>
            <w:tcW w:w="7591" w:type="dxa"/>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4.2</w:t>
            </w:r>
          </w:p>
        </w:tc>
        <w:tc>
          <w:tcPr>
            <w:tcW w:w="1555" w:type="dxa"/>
          </w:tcPr>
          <w:p>
            <w:pPr>
              <w:spacing w:before="78" w:beforeLines="25"/>
              <w:jc w:val="left"/>
              <w:rPr>
                <w:rFonts w:asciiTheme="minorEastAsia" w:hAnsiTheme="minorEastAsia" w:eastAsiaTheme="minorEastAsia"/>
                <w:b/>
              </w:rPr>
            </w:pPr>
            <w:r>
              <w:rPr>
                <w:rFonts w:hint="eastAsia" w:ascii="宋体" w:hAnsi="宋体"/>
                <w:b/>
              </w:rPr>
              <w:t>保单账户结算</w:t>
            </w:r>
          </w:p>
        </w:tc>
        <w:tc>
          <w:tcPr>
            <w:tcW w:w="7591" w:type="dxa"/>
          </w:tcPr>
          <w:p>
            <w:pPr>
              <w:spacing w:before="78" w:beforeLines="25"/>
              <w:rPr>
                <w:rFonts w:ascii="宋体" w:hAnsi="宋体"/>
              </w:rPr>
            </w:pPr>
            <w:r>
              <w:rPr>
                <w:rFonts w:ascii="宋体" w:hAnsi="宋体"/>
              </w:rPr>
              <w:t>在本合同有效期内，保单账户价值每月结算一次。</w:t>
            </w:r>
            <w:r>
              <w:rPr>
                <w:rFonts w:hint="eastAsia" w:ascii="宋体" w:hAnsi="宋体"/>
              </w:rPr>
              <w:t>保单账户结算日为每月1日。</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宋体" w:hAnsi="宋体"/>
                <w:b/>
              </w:rPr>
            </w:pPr>
          </w:p>
        </w:tc>
        <w:tc>
          <w:tcPr>
            <w:tcW w:w="7591" w:type="dxa"/>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p>
        </w:tc>
        <w:tc>
          <w:tcPr>
            <w:tcW w:w="1555" w:type="dxa"/>
          </w:tcPr>
          <w:p>
            <w:pPr>
              <w:spacing w:before="78" w:beforeLines="25"/>
              <w:jc w:val="left"/>
              <w:rPr>
                <w:rFonts w:ascii="宋体" w:hAnsi="宋体"/>
                <w:b/>
              </w:rPr>
            </w:pPr>
            <w:r>
              <w:rPr>
                <w:rFonts w:hint="eastAsia" w:ascii="宋体" w:hAnsi="宋体"/>
                <w:b/>
              </w:rPr>
              <w:t>结算利率</w:t>
            </w:r>
          </w:p>
        </w:tc>
        <w:tc>
          <w:tcPr>
            <w:tcW w:w="7591" w:type="dxa"/>
          </w:tcPr>
          <w:p>
            <w:pPr>
              <w:spacing w:before="78" w:beforeLines="25"/>
              <w:rPr>
                <w:rFonts w:ascii="宋体" w:hAnsi="宋体"/>
              </w:rPr>
            </w:pPr>
            <w:r>
              <w:rPr>
                <w:rFonts w:hint="eastAsia" w:ascii="宋体" w:hAnsi="宋体"/>
              </w:rPr>
              <w:t>我们在每月月初确定上个月的结算利率，并自每月结算日起6个工作日内公布。</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宋体" w:hAnsi="宋体"/>
                <w:b/>
              </w:rPr>
            </w:pPr>
          </w:p>
        </w:tc>
        <w:tc>
          <w:tcPr>
            <w:tcW w:w="7591" w:type="dxa"/>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p>
        </w:tc>
        <w:tc>
          <w:tcPr>
            <w:tcW w:w="1555" w:type="dxa"/>
          </w:tcPr>
          <w:p>
            <w:pPr>
              <w:spacing w:before="78" w:beforeLines="25"/>
              <w:jc w:val="left"/>
              <w:rPr>
                <w:rFonts w:ascii="宋体" w:hAnsi="宋体"/>
                <w:b/>
              </w:rPr>
            </w:pPr>
            <w:r>
              <w:rPr>
                <w:rFonts w:hint="eastAsia" w:ascii="宋体" w:hAnsi="宋体"/>
                <w:b/>
              </w:rPr>
              <w:t>保单账户利息</w:t>
            </w:r>
          </w:p>
        </w:tc>
        <w:tc>
          <w:tcPr>
            <w:tcW w:w="7591" w:type="dxa"/>
          </w:tcPr>
          <w:p>
            <w:pPr>
              <w:spacing w:before="78" w:beforeLines="25"/>
              <w:rPr>
                <w:rFonts w:ascii="宋体" w:hAnsi="宋体"/>
              </w:rPr>
            </w:pPr>
            <w:r>
              <w:rPr>
                <w:rFonts w:hint="eastAsia" w:ascii="宋体" w:hAnsi="宋体"/>
              </w:rPr>
              <w:t>我们在每月结算日零时结算保单账户利息。保单账户价值根据本合同上个月的实际经过天数，按我们本月公布的结算利率进行累积。</w:t>
            </w:r>
          </w:p>
          <w:p>
            <w:pPr>
              <w:spacing w:before="78" w:beforeLines="25"/>
              <w:rPr>
                <w:rFonts w:ascii="宋体" w:hAnsi="宋体"/>
              </w:rPr>
            </w:pPr>
            <w:r>
              <w:rPr>
                <w:rFonts w:hint="eastAsia" w:ascii="宋体" w:hAnsi="宋体"/>
              </w:rPr>
              <w:t>如果本合同终止，我们将在本合同终止日结算保单账户价值。保单账户价值根据本合同在终止日所在月的实际经过天数，按本合同约定的最低保证利率进行累积。</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Theme="minorEastAsia" w:hAnsiTheme="minorEastAsia" w:eastAsiaTheme="minorEastAsia"/>
                <w:b/>
              </w:rPr>
            </w:pPr>
          </w:p>
        </w:tc>
        <w:tc>
          <w:tcPr>
            <w:tcW w:w="7591" w:type="dxa"/>
          </w:tcPr>
          <w:p>
            <w:pPr>
              <w:spacing w:before="78" w:beforeLines="25"/>
              <w:rPr>
                <w:rFonts w:ascii="黑体" w:hAnsi="黑体" w:eastAsia="黑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p>
        </w:tc>
        <w:tc>
          <w:tcPr>
            <w:tcW w:w="1555" w:type="dxa"/>
          </w:tcPr>
          <w:p>
            <w:pPr>
              <w:spacing w:before="78" w:beforeLines="25"/>
              <w:jc w:val="left"/>
              <w:rPr>
                <w:rFonts w:asciiTheme="minorEastAsia" w:hAnsiTheme="minorEastAsia" w:eastAsiaTheme="minorEastAsia"/>
                <w:b/>
              </w:rPr>
            </w:pPr>
            <w:r>
              <w:rPr>
                <w:rFonts w:hint="eastAsia" w:asciiTheme="minorEastAsia" w:hAnsiTheme="minorEastAsia" w:eastAsiaTheme="minorEastAsia"/>
                <w:b/>
              </w:rPr>
              <w:t>保单账户最低保证利率</w:t>
            </w:r>
          </w:p>
        </w:tc>
        <w:tc>
          <w:tcPr>
            <w:tcW w:w="7591" w:type="dxa"/>
          </w:tcPr>
          <w:p>
            <w:pPr>
              <w:spacing w:before="78" w:beforeLines="25"/>
              <w:rPr>
                <w:rFonts w:ascii="宋体" w:hAnsi="宋体"/>
              </w:rPr>
            </w:pPr>
            <w:r>
              <w:rPr>
                <w:rFonts w:hint="eastAsia" w:ascii="宋体" w:hAnsi="宋体"/>
              </w:rPr>
              <w:t>最低保证利率指保单账户价值的最低年结算利率。本合同保单账户的最低保证利率为</w:t>
            </w:r>
            <w:r>
              <w:rPr>
                <w:rFonts w:ascii="宋体" w:hAnsi="宋体"/>
              </w:rPr>
              <w:t>1</w:t>
            </w:r>
            <w:r>
              <w:rPr>
                <w:rFonts w:hint="eastAsia" w:ascii="宋体" w:hAnsi="宋体"/>
              </w:rPr>
              <w:t>％，</w:t>
            </w:r>
            <w:r>
              <w:rPr>
                <w:rFonts w:ascii="宋体" w:hAnsi="宋体"/>
              </w:rPr>
              <w:t>每个保单年度的实际结算利率不会低于最低保证利率。</w:t>
            </w:r>
          </w:p>
          <w:p>
            <w:pPr>
              <w:spacing w:before="78" w:beforeLines="25"/>
              <w:rPr>
                <w:rFonts w:ascii="宋体" w:hAnsi="宋体"/>
              </w:rPr>
            </w:pPr>
            <w:r>
              <w:rPr>
                <w:rFonts w:hint="eastAsia" w:ascii="宋体" w:hAnsi="宋体"/>
              </w:rPr>
              <w:t>我们将在每个保单年度期满日后的首个结算日零时，根据最低保证利率计算保单账户最低保证价值。如果保单账户价值低于保单账户最低保证价值，我们将保单账户价值调升至保单账户最低保证价值。</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宋体" w:hAnsi="宋体"/>
                <w:b/>
              </w:rPr>
            </w:pPr>
          </w:p>
        </w:tc>
        <w:tc>
          <w:tcPr>
            <w:tcW w:w="7591" w:type="dxa"/>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4.3</w:t>
            </w:r>
          </w:p>
        </w:tc>
        <w:tc>
          <w:tcPr>
            <w:tcW w:w="1555" w:type="dxa"/>
          </w:tcPr>
          <w:p>
            <w:pPr>
              <w:spacing w:before="78" w:beforeLines="25"/>
              <w:jc w:val="left"/>
              <w:rPr>
                <w:rFonts w:ascii="宋体" w:hAnsi="宋体"/>
                <w:b/>
              </w:rPr>
            </w:pPr>
            <w:r>
              <w:rPr>
                <w:rFonts w:hint="eastAsia" w:ascii="宋体" w:hAnsi="宋体"/>
                <w:b/>
              </w:rPr>
              <w:t>持续奖金</w:t>
            </w:r>
          </w:p>
        </w:tc>
        <w:tc>
          <w:tcPr>
            <w:tcW w:w="7591" w:type="dxa"/>
          </w:tcPr>
          <w:p>
            <w:pPr>
              <w:spacing w:before="78" w:beforeLines="25"/>
              <w:rPr>
                <w:rFonts w:ascii="宋体" w:hAnsi="宋体"/>
              </w:rPr>
            </w:pPr>
            <w:r>
              <w:rPr>
                <w:rFonts w:hint="eastAsia" w:ascii="宋体" w:hAnsi="宋体"/>
              </w:rPr>
              <w:t>自第6个保单年度起，若本合同于每个保单年度末有效，我们将向您发放持续奖金。</w:t>
            </w:r>
          </w:p>
          <w:p>
            <w:pPr>
              <w:spacing w:before="78" w:beforeLines="25"/>
              <w:rPr>
                <w:rFonts w:ascii="宋体" w:hAnsi="宋体"/>
              </w:rPr>
            </w:pPr>
            <w:r>
              <w:rPr>
                <w:rFonts w:hint="eastAsia" w:ascii="宋体" w:hAnsi="宋体"/>
              </w:rPr>
              <w:t>第6个保单年度末的持续奖金金额为前6个保单年度转入保险费之和的1％，第7个及之后每个保单年度末的持续奖金金额为该保单年度转入保险费的1％。</w:t>
            </w:r>
          </w:p>
          <w:p>
            <w:pPr>
              <w:spacing w:before="78" w:beforeLines="25"/>
              <w:rPr>
                <w:rFonts w:ascii="宋体" w:hAnsi="宋体"/>
              </w:rPr>
            </w:pPr>
            <w:r>
              <w:rPr>
                <w:rFonts w:hint="eastAsia" w:ascii="黑体" w:hAnsi="黑体" w:eastAsia="黑体"/>
              </w:rPr>
              <w:t>持续奖金直接计入您的保单账户，不以现金形式发放。</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Theme="minorEastAsia" w:hAnsiTheme="minorEastAsia" w:eastAsiaTheme="minorEastAsia"/>
                <w:b/>
              </w:rPr>
            </w:pPr>
          </w:p>
        </w:tc>
        <w:tc>
          <w:tcPr>
            <w:tcW w:w="7591" w:type="dxa"/>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4.</w:t>
            </w:r>
            <w:r>
              <w:rPr>
                <w:rFonts w:ascii="宋体" w:hAnsi="宋体"/>
                <w:b/>
              </w:rPr>
              <w:t>4</w:t>
            </w:r>
          </w:p>
        </w:tc>
        <w:tc>
          <w:tcPr>
            <w:tcW w:w="1555" w:type="dxa"/>
          </w:tcPr>
          <w:p>
            <w:pPr>
              <w:spacing w:before="78" w:beforeLines="25"/>
              <w:jc w:val="left"/>
              <w:rPr>
                <w:rFonts w:asciiTheme="minorEastAsia" w:hAnsiTheme="minorEastAsia" w:eastAsiaTheme="minorEastAsia"/>
                <w:b/>
              </w:rPr>
            </w:pPr>
            <w:r>
              <w:rPr>
                <w:rFonts w:hint="eastAsia" w:ascii="宋体" w:hAnsi="宋体"/>
                <w:b/>
              </w:rPr>
              <w:t>费用收取</w:t>
            </w:r>
          </w:p>
        </w:tc>
        <w:tc>
          <w:tcPr>
            <w:tcW w:w="7591" w:type="dxa"/>
          </w:tcPr>
          <w:p>
            <w:pPr>
              <w:spacing w:before="78" w:beforeLines="25"/>
              <w:rPr>
                <w:rFonts w:ascii="宋体" w:hAnsi="宋体"/>
              </w:rPr>
            </w:pPr>
            <w:r>
              <w:rPr>
                <w:rFonts w:hint="eastAsia" w:ascii="宋体" w:hAnsi="宋体"/>
              </w:rPr>
              <w:t>在本合同保险期间内，</w:t>
            </w:r>
            <w:r>
              <w:rPr>
                <w:rFonts w:ascii="宋体" w:hAnsi="宋体"/>
              </w:rPr>
              <w:t>我们按约定收取</w:t>
            </w:r>
            <w:r>
              <w:rPr>
                <w:rFonts w:hint="eastAsia" w:ascii="宋体" w:hAnsi="宋体"/>
              </w:rPr>
              <w:t>如下</w:t>
            </w:r>
            <w:r>
              <w:rPr>
                <w:rFonts w:ascii="宋体" w:hAnsi="宋体"/>
              </w:rPr>
              <w:t>费用：</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tcPr>
          <w:p>
            <w:pPr>
              <w:spacing w:before="78" w:beforeLines="25"/>
              <w:jc w:val="left"/>
              <w:rPr>
                <w:rFonts w:ascii="宋体" w:hAnsi="宋体"/>
                <w:b/>
              </w:rPr>
            </w:pPr>
          </w:p>
        </w:tc>
        <w:tc>
          <w:tcPr>
            <w:tcW w:w="7591" w:type="dxa"/>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p>
        </w:tc>
        <w:tc>
          <w:tcPr>
            <w:tcW w:w="1555" w:type="dxa"/>
          </w:tcPr>
          <w:p>
            <w:pPr>
              <w:spacing w:before="78" w:beforeLines="25"/>
              <w:jc w:val="left"/>
              <w:rPr>
                <w:rFonts w:asciiTheme="minorEastAsia" w:hAnsiTheme="minorEastAsia" w:eastAsiaTheme="minorEastAsia"/>
                <w:b/>
              </w:rPr>
            </w:pPr>
            <w:r>
              <w:rPr>
                <w:rFonts w:hint="eastAsia" w:asciiTheme="minorEastAsia" w:hAnsiTheme="minorEastAsia" w:eastAsiaTheme="minorEastAsia"/>
                <w:b/>
              </w:rPr>
              <w:t>初始费用</w:t>
            </w:r>
          </w:p>
        </w:tc>
        <w:tc>
          <w:tcPr>
            <w:tcW w:w="7591" w:type="dxa"/>
          </w:tcPr>
          <w:p>
            <w:pPr>
              <w:spacing w:before="78" w:beforeLines="25"/>
              <w:rPr>
                <w:rFonts w:ascii="黑体" w:hAnsi="黑体" w:eastAsia="黑体"/>
                <w:szCs w:val="21"/>
              </w:rPr>
            </w:pPr>
            <w:r>
              <w:rPr>
                <w:rFonts w:hint="eastAsia" w:ascii="黑体" w:hAnsi="黑体" w:eastAsia="黑体"/>
                <w:szCs w:val="21"/>
              </w:rPr>
              <w:t>对于转入保险费，我们按转入保险费的</w:t>
            </w:r>
            <w:r>
              <w:rPr>
                <w:rFonts w:ascii="黑体" w:hAnsi="黑体" w:eastAsia="黑体"/>
                <w:szCs w:val="21"/>
              </w:rPr>
              <w:t>1</w:t>
            </w:r>
            <w:r>
              <w:rPr>
                <w:rFonts w:hint="eastAsia" w:ascii="黑体" w:hAnsi="黑体" w:eastAsia="黑体"/>
                <w:szCs w:val="21"/>
              </w:rPr>
              <w:t>％收取初始费用。</w:t>
            </w:r>
          </w:p>
          <w:p>
            <w:pPr>
              <w:spacing w:before="78" w:beforeLines="25"/>
              <w:rPr>
                <w:rFonts w:ascii="黑体" w:hAnsi="黑体" w:eastAsia="黑体"/>
                <w:szCs w:val="21"/>
              </w:rPr>
            </w:pPr>
            <w:r>
              <w:rPr>
                <w:rFonts w:hint="eastAsia" w:ascii="黑体" w:hAnsi="黑体" w:eastAsia="黑体"/>
                <w:szCs w:val="21"/>
              </w:rPr>
              <w:t>对于趸交保险费，我们按趸交保险费的</w:t>
            </w:r>
            <w:r>
              <w:rPr>
                <w:rFonts w:ascii="黑体" w:hAnsi="黑体" w:eastAsia="黑体"/>
                <w:szCs w:val="21"/>
              </w:rPr>
              <w:t>2</w:t>
            </w:r>
            <w:r>
              <w:rPr>
                <w:rFonts w:hint="eastAsia" w:ascii="黑体" w:hAnsi="黑体" w:eastAsia="黑体"/>
                <w:szCs w:val="21"/>
              </w:rPr>
              <w:t>％收取初始费用。</w:t>
            </w:r>
          </w:p>
          <w:p>
            <w:pPr>
              <w:spacing w:before="78" w:beforeLines="25"/>
              <w:rPr>
                <w:rFonts w:ascii="黑体" w:hAnsi="黑体" w:eastAsia="黑体"/>
                <w:szCs w:val="21"/>
              </w:rPr>
            </w:pPr>
            <w:r>
              <w:rPr>
                <w:rFonts w:hint="eastAsia" w:ascii="黑体" w:hAnsi="黑体" w:eastAsia="黑体"/>
                <w:szCs w:val="21"/>
              </w:rPr>
              <w:t>对于追加保险费，我们按追加保险费的2％收取初始费用。</w:t>
            </w:r>
          </w:p>
        </w:tc>
      </w:tr>
    </w:tbl>
    <w:p/>
    <w:tbl>
      <w:tblPr>
        <w:tblStyle w:val="9"/>
        <w:tblW w:w="0" w:type="auto"/>
        <w:tblInd w:w="-5" w:type="dxa"/>
        <w:tblLayout w:type="fixed"/>
        <w:tblCellMar>
          <w:top w:w="0" w:type="dxa"/>
          <w:left w:w="108" w:type="dxa"/>
          <w:bottom w:w="0" w:type="dxa"/>
          <w:right w:w="108" w:type="dxa"/>
        </w:tblCellMar>
      </w:tblPr>
      <w:tblGrid>
        <w:gridCol w:w="668"/>
        <w:gridCol w:w="1419"/>
        <w:gridCol w:w="136"/>
        <w:gridCol w:w="74"/>
        <w:gridCol w:w="1092"/>
        <w:gridCol w:w="1036"/>
        <w:gridCol w:w="1022"/>
        <w:gridCol w:w="1007"/>
        <w:gridCol w:w="1036"/>
        <w:gridCol w:w="1050"/>
        <w:gridCol w:w="1274"/>
      </w:tblGrid>
      <w:tr>
        <w:tc>
          <w:tcPr>
            <w:tcW w:w="668" w:type="dxa"/>
          </w:tcPr>
          <w:p>
            <w:pPr>
              <w:spacing w:before="78" w:beforeLines="25"/>
              <w:rPr>
                <w:rFonts w:ascii="宋体" w:hAnsi="宋体"/>
                <w:b/>
              </w:rPr>
            </w:pPr>
          </w:p>
        </w:tc>
        <w:tc>
          <w:tcPr>
            <w:tcW w:w="1555" w:type="dxa"/>
            <w:gridSpan w:val="2"/>
          </w:tcPr>
          <w:p>
            <w:pPr>
              <w:spacing w:before="78" w:beforeLines="25"/>
              <w:jc w:val="left"/>
              <w:rPr>
                <w:rFonts w:asciiTheme="minorEastAsia" w:hAnsiTheme="minorEastAsia" w:eastAsiaTheme="minorEastAsia"/>
                <w:b/>
              </w:rPr>
            </w:pPr>
            <w:r>
              <w:rPr>
                <w:rFonts w:hint="eastAsia" w:asciiTheme="minorEastAsia" w:hAnsiTheme="minorEastAsia" w:eastAsiaTheme="minorEastAsia"/>
                <w:b/>
              </w:rPr>
              <w:t>退保费用</w:t>
            </w:r>
          </w:p>
        </w:tc>
        <w:tc>
          <w:tcPr>
            <w:tcW w:w="7591" w:type="dxa"/>
            <w:gridSpan w:val="8"/>
          </w:tcPr>
          <w:p>
            <w:pPr>
              <w:spacing w:before="78" w:beforeLines="25"/>
              <w:rPr>
                <w:rFonts w:ascii="黑体" w:hAnsi="黑体" w:eastAsia="黑体"/>
              </w:rPr>
            </w:pPr>
            <w:r>
              <w:rPr>
                <w:rFonts w:ascii="黑体" w:hAnsi="黑体" w:eastAsia="黑体"/>
              </w:rPr>
              <w:t>您</w:t>
            </w:r>
            <w:r>
              <w:rPr>
                <w:rFonts w:hint="eastAsia" w:ascii="黑体" w:hAnsi="黑体" w:eastAsia="黑体"/>
              </w:rPr>
              <w:t>在犹豫期后</w:t>
            </w:r>
            <w:r>
              <w:rPr>
                <w:rFonts w:ascii="黑体" w:hAnsi="黑体" w:eastAsia="黑体"/>
              </w:rPr>
              <w:t>解除本合同或者部分领取保单账户价值时，我们将收取退保费用。</w:t>
            </w:r>
          </w:p>
          <w:p>
            <w:pPr>
              <w:spacing w:before="78" w:beforeLines="25"/>
              <w:rPr>
                <w:rFonts w:ascii="黑体" w:hAnsi="黑体" w:eastAsia="黑体"/>
              </w:rPr>
            </w:pPr>
            <w:r>
              <w:rPr>
                <w:rFonts w:ascii="黑体" w:hAnsi="黑体" w:eastAsia="黑体"/>
              </w:rPr>
              <w:t>退保费用为</w:t>
            </w:r>
            <w:r>
              <w:rPr>
                <w:rFonts w:hint="eastAsia" w:ascii="黑体" w:hAnsi="黑体" w:eastAsia="黑体"/>
              </w:rPr>
              <w:t>我们收到</w:t>
            </w:r>
            <w:r>
              <w:rPr>
                <w:rFonts w:ascii="黑体" w:hAnsi="黑体" w:eastAsia="黑体"/>
              </w:rPr>
              <w:t>您解除本合同</w:t>
            </w:r>
            <w:r>
              <w:rPr>
                <w:rFonts w:hint="eastAsia" w:ascii="黑体" w:hAnsi="黑体" w:eastAsia="黑体"/>
              </w:rPr>
              <w:t>申请书之日的</w:t>
            </w:r>
            <w:r>
              <w:rPr>
                <w:rFonts w:ascii="黑体" w:hAnsi="黑体" w:eastAsia="黑体"/>
              </w:rPr>
              <w:t>保单账户价值或者</w:t>
            </w:r>
            <w:r>
              <w:rPr>
                <w:rFonts w:hint="eastAsia" w:ascii="黑体" w:hAnsi="黑体" w:eastAsia="黑体"/>
              </w:rPr>
              <w:t>您申请</w:t>
            </w:r>
            <w:r>
              <w:rPr>
                <w:rFonts w:ascii="黑体" w:hAnsi="黑体" w:eastAsia="黑体"/>
              </w:rPr>
              <w:t>部分领取的保单账户价值的一定比例，具体收取标准见下表：</w:t>
            </w:r>
          </w:p>
        </w:tc>
      </w:tr>
      <w:tr>
        <w:tblPrEx>
          <w:tblCellMar>
            <w:top w:w="0" w:type="dxa"/>
            <w:left w:w="108" w:type="dxa"/>
            <w:bottom w:w="0" w:type="dxa"/>
            <w:right w:w="108" w:type="dxa"/>
          </w:tblCellMar>
        </w:tblPrEx>
        <w:trPr>
          <w:trHeight w:val="113" w:hRule="exact"/>
        </w:trPr>
        <w:tc>
          <w:tcPr>
            <w:tcW w:w="668" w:type="dxa"/>
          </w:tcPr>
          <w:p>
            <w:pPr>
              <w:spacing w:before="78" w:beforeLines="25"/>
              <w:rPr>
                <w:rFonts w:ascii="宋体" w:hAnsi="宋体"/>
                <w:b/>
              </w:rPr>
            </w:pPr>
          </w:p>
        </w:tc>
        <w:tc>
          <w:tcPr>
            <w:tcW w:w="1555" w:type="dxa"/>
            <w:gridSpan w:val="2"/>
          </w:tcPr>
          <w:p>
            <w:pPr>
              <w:spacing w:before="78" w:beforeLines="25"/>
              <w:jc w:val="left"/>
              <w:rPr>
                <w:rFonts w:asciiTheme="minorEastAsia" w:hAnsiTheme="minorEastAsia" w:eastAsiaTheme="minorEastAsia"/>
                <w:b/>
              </w:rPr>
            </w:pPr>
          </w:p>
        </w:tc>
        <w:tc>
          <w:tcPr>
            <w:tcW w:w="7591" w:type="dxa"/>
            <w:gridSpan w:val="8"/>
          </w:tcPr>
          <w:p>
            <w:pPr>
              <w:spacing w:before="78" w:beforeLines="25"/>
              <w:rPr>
                <w:rFonts w:ascii="黑体" w:hAnsi="黑体" w:eastAsia="黑体"/>
              </w:rPr>
            </w:pPr>
          </w:p>
        </w:tc>
      </w:tr>
      <w:tr>
        <w:tblPrEx>
          <w:tblCellMar>
            <w:top w:w="0" w:type="dxa"/>
            <w:left w:w="108" w:type="dxa"/>
            <w:bottom w:w="0" w:type="dxa"/>
            <w:right w:w="108" w:type="dxa"/>
          </w:tblCellMar>
        </w:tblPrEx>
        <w:trPr>
          <w:trHeight w:val="173" w:hRule="atLeast"/>
        </w:trPr>
        <w:tc>
          <w:tcPr>
            <w:tcW w:w="668" w:type="dxa"/>
            <w:vMerge w:val="restart"/>
          </w:tcPr>
          <w:p>
            <w:pPr>
              <w:spacing w:before="78" w:beforeLines="25"/>
              <w:rPr>
                <w:rFonts w:ascii="宋体" w:hAnsi="宋体"/>
                <w:b/>
              </w:rPr>
            </w:pPr>
          </w:p>
        </w:tc>
        <w:tc>
          <w:tcPr>
            <w:tcW w:w="1629" w:type="dxa"/>
            <w:gridSpan w:val="3"/>
            <w:vMerge w:val="restart"/>
          </w:tcPr>
          <w:p>
            <w:pPr>
              <w:spacing w:before="78" w:beforeLines="25"/>
              <w:jc w:val="left"/>
              <w:rPr>
                <w:rFonts w:asciiTheme="minorEastAsia" w:hAnsiTheme="minorEastAsia" w:eastAsiaTheme="minorEastAsia"/>
                <w:b/>
              </w:rPr>
            </w:pPr>
          </w:p>
        </w:tc>
        <w:tc>
          <w:tcPr>
            <w:tcW w:w="1092" w:type="dxa"/>
            <w:tcBorders>
              <w:top w:val="single" w:color="auto" w:sz="4" w:space="0"/>
              <w:bottom w:val="single" w:color="auto" w:sz="4" w:space="0"/>
              <w:right w:val="single" w:color="auto" w:sz="4" w:space="0"/>
            </w:tcBorders>
            <w:shd w:val="clear" w:color="auto" w:fill="D8D8D8" w:themeFill="background1" w:themeFillShade="D9"/>
            <w:vAlign w:val="center"/>
          </w:tcPr>
          <w:p>
            <w:pPr>
              <w:spacing w:before="78" w:beforeLines="25"/>
              <w:jc w:val="center"/>
              <w:rPr>
                <w:rFonts w:ascii="黑体" w:hAnsi="黑体" w:eastAsia="黑体"/>
              </w:rPr>
            </w:pPr>
            <w:r>
              <w:rPr>
                <w:rFonts w:hint="eastAsia" w:ascii="黑体" w:hAnsi="黑体" w:eastAsia="黑体"/>
              </w:rPr>
              <w:t>保单年度</w:t>
            </w:r>
          </w:p>
        </w:tc>
        <w:tc>
          <w:tcPr>
            <w:tcW w:w="1036"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spacing w:before="78" w:beforeLines="25"/>
              <w:jc w:val="center"/>
              <w:rPr>
                <w:rFonts w:ascii="黑体" w:hAnsi="黑体" w:eastAsia="黑体" w:cs="宋体"/>
                <w:szCs w:val="21"/>
              </w:rPr>
            </w:pPr>
            <w:r>
              <w:rPr>
                <w:rFonts w:hint="eastAsia" w:ascii="黑体" w:hAnsi="黑体" w:eastAsia="黑体" w:cs="宋体"/>
                <w:szCs w:val="21"/>
              </w:rPr>
              <w:t>第1保单年度</w:t>
            </w:r>
          </w:p>
        </w:tc>
        <w:tc>
          <w:tcPr>
            <w:tcW w:w="1022"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spacing w:before="78" w:beforeLines="25"/>
              <w:jc w:val="center"/>
              <w:rPr>
                <w:rFonts w:ascii="黑体" w:hAnsi="黑体" w:eastAsia="黑体"/>
              </w:rPr>
            </w:pPr>
            <w:r>
              <w:rPr>
                <w:rFonts w:hint="eastAsia" w:ascii="黑体" w:hAnsi="黑体" w:eastAsia="黑体" w:cs="宋体"/>
                <w:szCs w:val="21"/>
              </w:rPr>
              <w:t>第2保单年度</w:t>
            </w:r>
          </w:p>
        </w:tc>
        <w:tc>
          <w:tcPr>
            <w:tcW w:w="1007"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spacing w:before="78" w:beforeLines="25"/>
              <w:jc w:val="center"/>
              <w:rPr>
                <w:rFonts w:ascii="黑体" w:hAnsi="黑体" w:eastAsia="黑体"/>
              </w:rPr>
            </w:pPr>
            <w:r>
              <w:rPr>
                <w:rFonts w:hint="eastAsia" w:ascii="黑体" w:hAnsi="黑体" w:eastAsia="黑体" w:cs="宋体"/>
                <w:szCs w:val="21"/>
              </w:rPr>
              <w:t>第3保单年度</w:t>
            </w:r>
          </w:p>
        </w:tc>
        <w:tc>
          <w:tcPr>
            <w:tcW w:w="1036" w:type="dxa"/>
            <w:tcBorders>
              <w:top w:val="single" w:color="auto" w:sz="4" w:space="0"/>
              <w:left w:val="single" w:color="auto" w:sz="4" w:space="0"/>
              <w:bottom w:val="single" w:color="auto" w:sz="4" w:space="0"/>
            </w:tcBorders>
            <w:shd w:val="clear" w:color="auto" w:fill="D8D8D8" w:themeFill="background1" w:themeFillShade="D9"/>
            <w:vAlign w:val="center"/>
          </w:tcPr>
          <w:p>
            <w:pPr>
              <w:spacing w:before="78" w:beforeLines="25"/>
              <w:jc w:val="center"/>
              <w:rPr>
                <w:rFonts w:ascii="黑体" w:hAnsi="黑体" w:eastAsia="黑体"/>
              </w:rPr>
            </w:pPr>
            <w:r>
              <w:rPr>
                <w:rFonts w:hint="eastAsia" w:ascii="黑体" w:hAnsi="黑体" w:eastAsia="黑体" w:cs="宋体"/>
                <w:szCs w:val="21"/>
              </w:rPr>
              <w:t>第4保单年度</w:t>
            </w:r>
          </w:p>
        </w:tc>
        <w:tc>
          <w:tcPr>
            <w:tcW w:w="1050" w:type="dxa"/>
            <w:tcBorders>
              <w:top w:val="single" w:color="auto" w:sz="4" w:space="0"/>
              <w:left w:val="single" w:color="auto" w:sz="4" w:space="0"/>
              <w:bottom w:val="single" w:color="auto" w:sz="4" w:space="0"/>
            </w:tcBorders>
            <w:shd w:val="clear" w:color="auto" w:fill="D8D8D8" w:themeFill="background1" w:themeFillShade="D9"/>
            <w:vAlign w:val="center"/>
          </w:tcPr>
          <w:p>
            <w:pPr>
              <w:spacing w:before="78" w:beforeLines="25"/>
              <w:jc w:val="center"/>
              <w:rPr>
                <w:rFonts w:ascii="黑体" w:hAnsi="黑体" w:eastAsia="黑体"/>
              </w:rPr>
            </w:pPr>
            <w:r>
              <w:rPr>
                <w:rFonts w:hint="eastAsia" w:ascii="黑体" w:hAnsi="黑体" w:eastAsia="黑体" w:cs="宋体"/>
                <w:szCs w:val="21"/>
              </w:rPr>
              <w:t>第5保单年度</w:t>
            </w:r>
          </w:p>
        </w:tc>
        <w:tc>
          <w:tcPr>
            <w:tcW w:w="1274" w:type="dxa"/>
            <w:tcBorders>
              <w:top w:val="single" w:color="auto" w:sz="4" w:space="0"/>
              <w:left w:val="single" w:color="auto" w:sz="4" w:space="0"/>
              <w:bottom w:val="single" w:color="auto" w:sz="4" w:space="0"/>
            </w:tcBorders>
            <w:shd w:val="clear" w:color="auto" w:fill="D8D8D8" w:themeFill="background1" w:themeFillShade="D9"/>
            <w:vAlign w:val="center"/>
          </w:tcPr>
          <w:p>
            <w:pPr>
              <w:spacing w:before="78" w:beforeLines="25"/>
              <w:jc w:val="center"/>
              <w:rPr>
                <w:rFonts w:ascii="黑体" w:hAnsi="黑体" w:eastAsia="黑体"/>
              </w:rPr>
            </w:pPr>
            <w:r>
              <w:rPr>
                <w:rFonts w:hint="eastAsia" w:ascii="黑体" w:hAnsi="黑体" w:eastAsia="黑体" w:cs="宋体"/>
                <w:szCs w:val="21"/>
              </w:rPr>
              <w:t>第6及以后各保单年度</w:t>
            </w:r>
          </w:p>
        </w:tc>
      </w:tr>
      <w:tr>
        <w:tblPrEx>
          <w:tblCellMar>
            <w:top w:w="0" w:type="dxa"/>
            <w:left w:w="108" w:type="dxa"/>
            <w:bottom w:w="0" w:type="dxa"/>
            <w:right w:w="108" w:type="dxa"/>
          </w:tblCellMar>
        </w:tblPrEx>
        <w:trPr>
          <w:trHeight w:val="172" w:hRule="atLeast"/>
        </w:trPr>
        <w:tc>
          <w:tcPr>
            <w:tcW w:w="668" w:type="dxa"/>
            <w:vMerge w:val="continue"/>
          </w:tcPr>
          <w:p>
            <w:pPr>
              <w:spacing w:before="78" w:beforeLines="25"/>
              <w:rPr>
                <w:rFonts w:ascii="宋体" w:hAnsi="宋体"/>
                <w:b/>
              </w:rPr>
            </w:pPr>
          </w:p>
        </w:tc>
        <w:tc>
          <w:tcPr>
            <w:tcW w:w="1629" w:type="dxa"/>
            <w:gridSpan w:val="3"/>
            <w:vMerge w:val="continue"/>
          </w:tcPr>
          <w:p>
            <w:pPr>
              <w:spacing w:before="78" w:beforeLines="25"/>
              <w:jc w:val="left"/>
              <w:rPr>
                <w:rFonts w:asciiTheme="minorEastAsia" w:hAnsiTheme="minorEastAsia" w:eastAsiaTheme="minorEastAsia"/>
                <w:b/>
              </w:rPr>
            </w:pPr>
          </w:p>
        </w:tc>
        <w:tc>
          <w:tcPr>
            <w:tcW w:w="1092" w:type="dxa"/>
            <w:tcBorders>
              <w:top w:val="single" w:color="auto" w:sz="4" w:space="0"/>
              <w:bottom w:val="single" w:color="auto" w:sz="4" w:space="0"/>
              <w:right w:val="single" w:color="auto" w:sz="4" w:space="0"/>
            </w:tcBorders>
            <w:vAlign w:val="center"/>
          </w:tcPr>
          <w:p>
            <w:pPr>
              <w:spacing w:before="78" w:beforeLines="25"/>
              <w:jc w:val="center"/>
              <w:rPr>
                <w:rFonts w:ascii="黑体" w:hAnsi="黑体" w:eastAsia="黑体"/>
              </w:rPr>
            </w:pPr>
            <w:r>
              <w:rPr>
                <w:rFonts w:hint="eastAsia" w:ascii="黑体" w:hAnsi="黑体" w:eastAsia="黑体"/>
              </w:rPr>
              <w:t>退保费用比例</w:t>
            </w:r>
          </w:p>
        </w:tc>
        <w:tc>
          <w:tcPr>
            <w:tcW w:w="1036" w:type="dxa"/>
            <w:tcBorders>
              <w:top w:val="single" w:color="auto" w:sz="4" w:space="0"/>
              <w:left w:val="single" w:color="auto" w:sz="4" w:space="0"/>
              <w:bottom w:val="single" w:color="auto" w:sz="4" w:space="0"/>
              <w:right w:val="single" w:color="auto" w:sz="4" w:space="0"/>
            </w:tcBorders>
            <w:vAlign w:val="center"/>
          </w:tcPr>
          <w:p>
            <w:pPr>
              <w:spacing w:before="78" w:beforeLines="25"/>
              <w:jc w:val="center"/>
              <w:rPr>
                <w:rFonts w:ascii="黑体" w:hAnsi="黑体" w:eastAsia="黑体"/>
              </w:rPr>
            </w:pPr>
            <w:r>
              <w:rPr>
                <w:rFonts w:ascii="黑体" w:hAnsi="黑体" w:eastAsia="黑体"/>
              </w:rPr>
              <w:t>3</w:t>
            </w:r>
            <w:r>
              <w:rPr>
                <w:rFonts w:hint="eastAsia" w:ascii="黑体" w:hAnsi="黑体" w:eastAsia="黑体"/>
              </w:rPr>
              <w:t>％</w:t>
            </w:r>
          </w:p>
        </w:tc>
        <w:tc>
          <w:tcPr>
            <w:tcW w:w="1022" w:type="dxa"/>
            <w:tcBorders>
              <w:top w:val="single" w:color="auto" w:sz="4" w:space="0"/>
              <w:left w:val="single" w:color="auto" w:sz="4" w:space="0"/>
              <w:bottom w:val="single" w:color="auto" w:sz="4" w:space="0"/>
              <w:right w:val="single" w:color="auto" w:sz="4" w:space="0"/>
            </w:tcBorders>
            <w:vAlign w:val="center"/>
          </w:tcPr>
          <w:p>
            <w:pPr>
              <w:spacing w:before="78" w:beforeLines="25"/>
              <w:jc w:val="center"/>
              <w:rPr>
                <w:rFonts w:ascii="黑体" w:hAnsi="黑体" w:eastAsia="黑体"/>
              </w:rPr>
            </w:pPr>
            <w:r>
              <w:rPr>
                <w:rFonts w:ascii="黑体" w:hAnsi="黑体" w:eastAsia="黑体"/>
              </w:rPr>
              <w:t>2</w:t>
            </w:r>
            <w:r>
              <w:rPr>
                <w:rFonts w:hint="eastAsia" w:ascii="黑体" w:hAnsi="黑体" w:eastAsia="黑体"/>
              </w:rPr>
              <w:t>％</w:t>
            </w:r>
          </w:p>
        </w:tc>
        <w:tc>
          <w:tcPr>
            <w:tcW w:w="1007" w:type="dxa"/>
            <w:tcBorders>
              <w:top w:val="single" w:color="auto" w:sz="4" w:space="0"/>
              <w:left w:val="single" w:color="auto" w:sz="4" w:space="0"/>
              <w:bottom w:val="single" w:color="auto" w:sz="4" w:space="0"/>
              <w:right w:val="single" w:color="auto" w:sz="4" w:space="0"/>
            </w:tcBorders>
            <w:vAlign w:val="center"/>
          </w:tcPr>
          <w:p>
            <w:pPr>
              <w:spacing w:before="78" w:beforeLines="25"/>
              <w:jc w:val="center"/>
              <w:rPr>
                <w:rFonts w:ascii="黑体" w:hAnsi="黑体" w:eastAsia="黑体"/>
              </w:rPr>
            </w:pPr>
            <w:r>
              <w:rPr>
                <w:rFonts w:hint="eastAsia" w:ascii="黑体" w:hAnsi="黑体" w:eastAsia="黑体"/>
              </w:rPr>
              <w:t>1％</w:t>
            </w:r>
          </w:p>
        </w:tc>
        <w:tc>
          <w:tcPr>
            <w:tcW w:w="1036" w:type="dxa"/>
            <w:tcBorders>
              <w:top w:val="single" w:color="auto" w:sz="4" w:space="0"/>
              <w:left w:val="single" w:color="auto" w:sz="4" w:space="0"/>
              <w:bottom w:val="single" w:color="auto" w:sz="4" w:space="0"/>
            </w:tcBorders>
            <w:vAlign w:val="center"/>
          </w:tcPr>
          <w:p>
            <w:pPr>
              <w:spacing w:before="78" w:beforeLines="25"/>
              <w:jc w:val="center"/>
              <w:rPr>
                <w:rFonts w:ascii="黑体" w:hAnsi="黑体" w:eastAsia="黑体"/>
              </w:rPr>
            </w:pPr>
            <w:r>
              <w:rPr>
                <w:rFonts w:hint="eastAsia" w:ascii="黑体" w:hAnsi="黑体" w:eastAsia="黑体"/>
              </w:rPr>
              <w:t>1％</w:t>
            </w:r>
          </w:p>
        </w:tc>
        <w:tc>
          <w:tcPr>
            <w:tcW w:w="1050" w:type="dxa"/>
            <w:tcBorders>
              <w:top w:val="single" w:color="auto" w:sz="4" w:space="0"/>
              <w:left w:val="single" w:color="auto" w:sz="4" w:space="0"/>
              <w:bottom w:val="single" w:color="auto" w:sz="4" w:space="0"/>
            </w:tcBorders>
            <w:vAlign w:val="center"/>
          </w:tcPr>
          <w:p>
            <w:pPr>
              <w:spacing w:before="78" w:beforeLines="25"/>
              <w:jc w:val="center"/>
              <w:rPr>
                <w:rFonts w:ascii="黑体" w:hAnsi="黑体" w:eastAsia="黑体"/>
              </w:rPr>
            </w:pPr>
            <w:r>
              <w:rPr>
                <w:rFonts w:hint="eastAsia" w:ascii="黑体" w:hAnsi="黑体" w:eastAsia="黑体"/>
              </w:rPr>
              <w:t>1％</w:t>
            </w:r>
          </w:p>
        </w:tc>
        <w:tc>
          <w:tcPr>
            <w:tcW w:w="1274" w:type="dxa"/>
            <w:tcBorders>
              <w:top w:val="single" w:color="auto" w:sz="4" w:space="0"/>
              <w:left w:val="single" w:color="auto" w:sz="4" w:space="0"/>
              <w:bottom w:val="single" w:color="auto" w:sz="4" w:space="0"/>
            </w:tcBorders>
            <w:vAlign w:val="center"/>
          </w:tcPr>
          <w:p>
            <w:pPr>
              <w:spacing w:before="78" w:beforeLines="25"/>
              <w:jc w:val="center"/>
              <w:rPr>
                <w:rFonts w:ascii="黑体" w:hAnsi="黑体" w:eastAsia="黑体"/>
              </w:rPr>
            </w:pPr>
            <w:r>
              <w:rPr>
                <w:rFonts w:hint="eastAsia" w:ascii="黑体" w:hAnsi="黑体" w:eastAsia="黑体"/>
              </w:rPr>
              <w:t>0％</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p>
            <w:pPr>
              <w:spacing w:before="78" w:beforeLines="25"/>
              <w:rPr>
                <w:rFonts w:ascii="宋体" w:hAnsi="宋体"/>
                <w:b/>
              </w:rPr>
            </w:pPr>
            <w:r>
              <w:rPr>
                <w:rFonts w:ascii="宋体" w:hAnsi="宋体"/>
                <w:b/>
              </w:rPr>
              <w:t>Sd</w:t>
            </w:r>
          </w:p>
          <w:p>
            <w:pPr>
              <w:spacing w:before="78" w:beforeLines="25"/>
              <w:rPr>
                <w:rFonts w:ascii="宋体" w:hAnsi="宋体"/>
                <w:b/>
              </w:rPr>
            </w:pPr>
          </w:p>
        </w:tc>
        <w:tc>
          <w:tcPr>
            <w:tcW w:w="1555" w:type="dxa"/>
            <w:gridSpan w:val="2"/>
          </w:tcPr>
          <w:p>
            <w:pPr>
              <w:spacing w:before="78" w:beforeLines="25"/>
              <w:jc w:val="left"/>
              <w:rPr>
                <w:rFonts w:asciiTheme="minorEastAsia" w:hAnsiTheme="minorEastAsia" w:eastAsiaTheme="minorEastAsia"/>
                <w:b/>
              </w:rPr>
            </w:pPr>
          </w:p>
        </w:tc>
        <w:tc>
          <w:tcPr>
            <w:tcW w:w="7591" w:type="dxa"/>
            <w:gridSpan w:val="8"/>
          </w:tcPr>
          <w:p>
            <w:pPr>
              <w:spacing w:before="78" w:beforeLines="25"/>
              <w:rPr>
                <w:rFonts w:ascii="黑体" w:hAnsi="黑体" w:eastAsia="黑体"/>
              </w:rPr>
            </w:pPr>
          </w:p>
          <w:p>
            <w:pPr>
              <w:spacing w:before="78" w:beforeLines="25"/>
              <w:rPr>
                <w:rFonts w:ascii="黑体" w:hAnsi="黑体" w:eastAsia="黑体"/>
              </w:rPr>
            </w:pPr>
          </w:p>
          <w:p>
            <w:pPr>
              <w:spacing w:before="78" w:beforeLines="25"/>
              <w:rPr>
                <w:rFonts w:ascii="黑体" w:hAnsi="黑体" w:eastAsia="黑体"/>
              </w:rPr>
            </w:pPr>
          </w:p>
          <w:p>
            <w:pPr>
              <w:spacing w:before="78" w:beforeLines="25"/>
              <w:rPr>
                <w:rFonts w:ascii="黑体" w:hAnsi="黑体" w:eastAsia="黑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4.</w:t>
            </w:r>
            <w:r>
              <w:rPr>
                <w:rFonts w:ascii="宋体" w:hAnsi="宋体"/>
                <w:b/>
              </w:rPr>
              <w:t>5</w:t>
            </w:r>
          </w:p>
        </w:tc>
        <w:tc>
          <w:tcPr>
            <w:tcW w:w="1555" w:type="dxa"/>
            <w:gridSpan w:val="2"/>
          </w:tcPr>
          <w:p>
            <w:pPr>
              <w:spacing w:before="78" w:beforeLines="25"/>
              <w:jc w:val="left"/>
              <w:rPr>
                <w:rFonts w:ascii="楷体_GB2312" w:hAnsi="宋体" w:eastAsia="楷体_GB2312"/>
                <w:b/>
              </w:rPr>
            </w:pPr>
            <w:r>
              <w:rPr>
                <w:rFonts w:hint="eastAsia" w:ascii="宋体" w:hAnsi="宋体"/>
                <w:b/>
              </w:rPr>
              <w:t>保单账户价值的部分领取</w:t>
            </w:r>
          </w:p>
        </w:tc>
        <w:tc>
          <w:tcPr>
            <w:tcW w:w="7591" w:type="dxa"/>
            <w:gridSpan w:val="8"/>
          </w:tcPr>
          <w:p>
            <w:pPr>
              <w:spacing w:before="78" w:beforeLines="25"/>
              <w:rPr>
                <w:rFonts w:ascii="宋体" w:hAnsi="宋体"/>
              </w:rPr>
            </w:pPr>
            <w:r>
              <w:rPr>
                <w:rFonts w:hint="eastAsia" w:ascii="宋体" w:hAnsi="宋体"/>
              </w:rPr>
              <w:t>在本合同有效期内，</w:t>
            </w:r>
            <w:r>
              <w:rPr>
                <w:rFonts w:ascii="宋体" w:hAnsi="宋体"/>
              </w:rPr>
              <w:t>您在犹豫期后可以申请部分领取保单账户价值，</w:t>
            </w:r>
            <w:r>
              <w:rPr>
                <w:rFonts w:ascii="黑体" w:hAnsi="黑体" w:eastAsia="黑体"/>
              </w:rPr>
              <w:t>但需要</w:t>
            </w:r>
            <w:r>
              <w:rPr>
                <w:rFonts w:hint="eastAsia" w:ascii="黑体" w:hAnsi="黑体" w:eastAsia="黑体"/>
              </w:rPr>
              <w:t>同时</w:t>
            </w:r>
            <w:r>
              <w:rPr>
                <w:rFonts w:ascii="黑体" w:hAnsi="黑体" w:eastAsia="黑体"/>
              </w:rPr>
              <w:t>满足以下条件：</w:t>
            </w:r>
          </w:p>
          <w:p>
            <w:pPr>
              <w:numPr>
                <w:ilvl w:val="0"/>
                <w:numId w:val="2"/>
              </w:numPr>
              <w:spacing w:before="78" w:beforeLines="25"/>
              <w:ind w:left="720" w:hanging="720"/>
              <w:rPr>
                <w:rFonts w:ascii="宋体" w:hAnsi="宋体"/>
              </w:rPr>
            </w:pPr>
            <w:r>
              <w:rPr>
                <w:rFonts w:ascii="宋体" w:hAnsi="宋体"/>
              </w:rPr>
              <w:t>被保险人未</w:t>
            </w:r>
            <w:r>
              <w:rPr>
                <w:rFonts w:hint="eastAsia" w:ascii="宋体" w:hAnsi="宋体"/>
              </w:rPr>
              <w:t>身故</w:t>
            </w:r>
            <w:r>
              <w:rPr>
                <w:rFonts w:ascii="宋体" w:hAnsi="宋体"/>
              </w:rPr>
              <w:t>；</w:t>
            </w:r>
          </w:p>
          <w:p>
            <w:pPr>
              <w:numPr>
                <w:ilvl w:val="0"/>
                <w:numId w:val="2"/>
              </w:numPr>
              <w:spacing w:before="78" w:beforeLines="25"/>
              <w:ind w:left="720" w:hanging="720"/>
              <w:rPr>
                <w:rFonts w:ascii="宋体" w:hAnsi="宋体"/>
              </w:rPr>
            </w:pPr>
            <w:r>
              <w:rPr>
                <w:rFonts w:ascii="宋体" w:hAnsi="宋体"/>
              </w:rPr>
              <w:t>每次申请部分领取的金额</w:t>
            </w:r>
            <w:r>
              <w:rPr>
                <w:rFonts w:hint="eastAsia" w:ascii="宋体" w:hAnsi="宋体"/>
              </w:rPr>
              <w:t>及</w:t>
            </w:r>
            <w:r>
              <w:rPr>
                <w:rFonts w:ascii="宋体" w:hAnsi="宋体"/>
              </w:rPr>
              <w:t>领取后的保单账户价值余额不得低于我们</w:t>
            </w:r>
            <w:r>
              <w:rPr>
                <w:rFonts w:hint="eastAsia" w:ascii="宋体" w:hAnsi="宋体"/>
              </w:rPr>
              <w:t>约定</w:t>
            </w:r>
            <w:r>
              <w:rPr>
                <w:rFonts w:ascii="宋体" w:hAnsi="宋体"/>
              </w:rPr>
              <w:t>的最低金额；如果部分领取后的保单账户价值余额低于我们</w:t>
            </w:r>
            <w:r>
              <w:rPr>
                <w:rFonts w:hint="eastAsia" w:ascii="宋体" w:hAnsi="宋体"/>
              </w:rPr>
              <w:t>约定</w:t>
            </w:r>
            <w:r>
              <w:rPr>
                <w:rFonts w:ascii="宋体" w:hAnsi="宋体"/>
              </w:rPr>
              <w:t>的最低金额，您只能书面申请解除本合同，不能申请部分领取</w:t>
            </w:r>
            <w:r>
              <w:rPr>
                <w:rFonts w:hint="eastAsia" w:ascii="宋体" w:hAnsi="宋体"/>
              </w:rPr>
              <w:t>；</w:t>
            </w:r>
          </w:p>
          <w:p>
            <w:pPr>
              <w:numPr>
                <w:ilvl w:val="0"/>
                <w:numId w:val="2"/>
              </w:numPr>
              <w:spacing w:before="78" w:beforeLines="25"/>
              <w:ind w:left="720" w:hanging="720"/>
              <w:rPr>
                <w:rFonts w:ascii="宋体" w:hAnsi="宋体"/>
              </w:rPr>
            </w:pPr>
            <w:r>
              <w:rPr>
                <w:rFonts w:hint="eastAsia" w:ascii="宋体" w:hAnsi="宋体"/>
              </w:rPr>
              <w:t>在男性被保险人年满6</w:t>
            </w:r>
            <w:r>
              <w:rPr>
                <w:rFonts w:ascii="宋体" w:hAnsi="宋体"/>
              </w:rPr>
              <w:t>0</w:t>
            </w:r>
            <w:r>
              <w:rPr>
                <w:rFonts w:hint="eastAsia" w:ascii="宋体" w:hAnsi="宋体"/>
              </w:rPr>
              <w:t>周岁之前或女性被保险人年满5</w:t>
            </w:r>
            <w:r>
              <w:rPr>
                <w:rFonts w:ascii="宋体" w:hAnsi="宋体"/>
              </w:rPr>
              <w:t>5</w:t>
            </w:r>
            <w:r>
              <w:rPr>
                <w:rFonts w:hint="eastAsia" w:ascii="宋体" w:hAnsi="宋体"/>
              </w:rPr>
              <w:t>周岁之前，</w:t>
            </w:r>
            <w:r>
              <w:rPr>
                <w:rFonts w:hint="eastAsia" w:ascii="黑体" w:hAnsi="黑体" w:eastAsia="黑体"/>
              </w:rPr>
              <w:t>每个保单年度内累计部分领取的金额不得超过本合同累计已交保险费的20％。</w:t>
            </w:r>
          </w:p>
          <w:p>
            <w:pPr>
              <w:spacing w:before="78" w:beforeLines="25"/>
              <w:rPr>
                <w:rFonts w:ascii="宋体" w:hAnsi="宋体"/>
              </w:rPr>
            </w:pPr>
            <w:r>
              <w:rPr>
                <w:rFonts w:ascii="宋体" w:hAnsi="宋体"/>
              </w:rPr>
              <w:t>您在申请部分领取保单账户价值时，须向我们提供</w:t>
            </w:r>
            <w:r>
              <w:rPr>
                <w:rFonts w:hint="eastAsia" w:ascii="宋体" w:hAnsi="宋体"/>
              </w:rPr>
              <w:t>本合同、部分领取申请书及您的</w:t>
            </w:r>
            <w:r>
              <w:rPr>
                <w:rFonts w:ascii="宋体" w:hAnsi="宋体"/>
                <w:b/>
              </w:rPr>
              <w:t>有效身份证件</w:t>
            </w:r>
            <w:r>
              <w:rPr>
                <w:rStyle w:val="14"/>
                <w:rFonts w:asciiTheme="minorEastAsia" w:hAnsiTheme="minorEastAsia" w:eastAsiaTheme="minorEastAsia"/>
                <w:b/>
              </w:rPr>
              <w:footnoteReference w:id="13"/>
            </w:r>
            <w:r>
              <w:rPr>
                <w:rFonts w:hint="eastAsia" w:ascii="宋体" w:hAnsi="宋体"/>
              </w:rPr>
              <w:t>的原件。</w:t>
            </w:r>
          </w:p>
          <w:p>
            <w:pPr>
              <w:spacing w:before="78" w:beforeLines="25"/>
              <w:rPr>
                <w:rFonts w:ascii="宋体" w:hAnsi="宋体"/>
              </w:rPr>
            </w:pPr>
            <w:r>
              <w:rPr>
                <w:rFonts w:ascii="宋体" w:hAnsi="宋体"/>
              </w:rPr>
              <w:t>对于满足</w:t>
            </w:r>
            <w:r>
              <w:rPr>
                <w:rFonts w:hint="eastAsia" w:ascii="宋体" w:hAnsi="宋体"/>
              </w:rPr>
              <w:t>上述</w:t>
            </w:r>
            <w:r>
              <w:rPr>
                <w:rFonts w:ascii="宋体" w:hAnsi="宋体"/>
              </w:rPr>
              <w:t>所列条件的，我们自接到</w:t>
            </w:r>
            <w:r>
              <w:rPr>
                <w:rFonts w:hint="eastAsia" w:ascii="宋体" w:hAnsi="宋体"/>
              </w:rPr>
              <w:t>前述要求的</w:t>
            </w:r>
            <w:r>
              <w:rPr>
                <w:rFonts w:ascii="宋体" w:hAnsi="宋体"/>
              </w:rPr>
              <w:t>证明和资料之日起30日内，</w:t>
            </w:r>
            <w:r>
              <w:rPr>
                <w:rFonts w:ascii="黑体" w:hAnsi="黑体" w:eastAsia="黑体"/>
              </w:rPr>
              <w:t>向您给付您申请部分领取的保单账户价值在扣除退保费用后的余额。您的保单账户价值在领取日按您申请部分领取的保单账户价值等额减少。</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gridSpan w:val="2"/>
          </w:tcPr>
          <w:p>
            <w:pPr>
              <w:spacing w:before="78" w:beforeLines="25"/>
              <w:rPr>
                <w:rFonts w:asciiTheme="minorEastAsia" w:hAnsiTheme="minorEastAsia" w:eastAsiaTheme="minorEastAsia"/>
                <w:b/>
              </w:rPr>
            </w:pPr>
          </w:p>
        </w:tc>
        <w:tc>
          <w:tcPr>
            <w:tcW w:w="7591" w:type="dxa"/>
            <w:gridSpan w:val="8"/>
          </w:tcPr>
          <w:p>
            <w:pPr>
              <w:spacing w:before="78" w:beforeLines="25"/>
              <w:rPr>
                <w:rFonts w:ascii="黑体" w:hAnsi="黑体" w:eastAsia="黑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4.</w:t>
            </w:r>
            <w:r>
              <w:rPr>
                <w:rFonts w:ascii="宋体" w:hAnsi="宋体"/>
                <w:b/>
              </w:rPr>
              <w:t>6</w:t>
            </w:r>
          </w:p>
        </w:tc>
        <w:tc>
          <w:tcPr>
            <w:tcW w:w="1555" w:type="dxa"/>
            <w:gridSpan w:val="2"/>
          </w:tcPr>
          <w:p>
            <w:pPr>
              <w:spacing w:before="78" w:beforeLines="25"/>
              <w:jc w:val="left"/>
              <w:rPr>
                <w:rFonts w:asciiTheme="minorEastAsia" w:hAnsiTheme="minorEastAsia" w:eastAsiaTheme="minorEastAsia"/>
                <w:b/>
              </w:rPr>
            </w:pPr>
            <w:r>
              <w:rPr>
                <w:rFonts w:hint="eastAsia" w:ascii="宋体" w:hAnsi="宋体"/>
                <w:b/>
              </w:rPr>
              <w:t>现金价值</w:t>
            </w:r>
          </w:p>
        </w:tc>
        <w:tc>
          <w:tcPr>
            <w:tcW w:w="7591" w:type="dxa"/>
            <w:gridSpan w:val="8"/>
          </w:tcPr>
          <w:p>
            <w:pPr>
              <w:spacing w:before="78" w:beforeLines="25"/>
              <w:rPr>
                <w:rFonts w:ascii="宋体" w:hAnsi="宋体"/>
              </w:rPr>
            </w:pPr>
            <w:r>
              <w:rPr>
                <w:rFonts w:hint="eastAsia" w:ascii="宋体" w:hAnsi="宋体"/>
              </w:rPr>
              <w:t>指保险单所具有的价值，通常体现为解除合同时，根据精算原理计算的、由我们退还的那部分金额。本合同的现金价值等于保单账户价值扣除相应的退保费用后的余额</w:t>
            </w:r>
            <w:r>
              <w:rPr>
                <w:rFonts w:ascii="宋体" w:hAnsi="宋体"/>
              </w:rPr>
              <w:t>。</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gridSpan w:val="2"/>
          </w:tcPr>
          <w:p>
            <w:pPr>
              <w:spacing w:before="78" w:beforeLines="25"/>
              <w:jc w:val="left"/>
              <w:rPr>
                <w:rFonts w:asciiTheme="minorEastAsia" w:hAnsiTheme="minorEastAsia" w:eastAsiaTheme="minorEastAsia"/>
                <w:b/>
              </w:rPr>
            </w:pPr>
          </w:p>
        </w:tc>
        <w:tc>
          <w:tcPr>
            <w:tcW w:w="7591" w:type="dxa"/>
            <w:gridSpan w:val="8"/>
          </w:tcPr>
          <w:p>
            <w:pPr>
              <w:spacing w:before="78" w:beforeLines="25"/>
              <w:rPr>
                <w:rFonts w:ascii="黑体" w:hAnsi="黑体" w:eastAsia="黑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4.</w:t>
            </w:r>
            <w:r>
              <w:rPr>
                <w:rFonts w:ascii="宋体" w:hAnsi="宋体"/>
                <w:b/>
              </w:rPr>
              <w:t>7</w:t>
            </w:r>
          </w:p>
        </w:tc>
        <w:tc>
          <w:tcPr>
            <w:tcW w:w="1555" w:type="dxa"/>
            <w:gridSpan w:val="2"/>
          </w:tcPr>
          <w:p>
            <w:pPr>
              <w:spacing w:before="78" w:beforeLines="25"/>
              <w:jc w:val="left"/>
              <w:rPr>
                <w:rFonts w:asciiTheme="minorEastAsia" w:hAnsiTheme="minorEastAsia" w:eastAsiaTheme="minorEastAsia"/>
                <w:b/>
              </w:rPr>
            </w:pPr>
            <w:r>
              <w:rPr>
                <w:rFonts w:hint="eastAsia" w:ascii="宋体" w:hAnsi="宋体"/>
                <w:b/>
              </w:rPr>
              <w:t>保单贷款</w:t>
            </w:r>
          </w:p>
        </w:tc>
        <w:tc>
          <w:tcPr>
            <w:tcW w:w="7591" w:type="dxa"/>
            <w:gridSpan w:val="8"/>
          </w:tcPr>
          <w:p>
            <w:pPr>
              <w:pStyle w:val="16"/>
              <w:adjustRightInd/>
              <w:spacing w:before="78" w:beforeLines="25"/>
              <w:jc w:val="both"/>
              <w:rPr>
                <w:rFonts w:hAnsi="宋体" w:cs="Times New Roman"/>
                <w:color w:val="auto"/>
                <w:kern w:val="2"/>
                <w:sz w:val="21"/>
              </w:rPr>
            </w:pPr>
            <w:r>
              <w:rPr>
                <w:rFonts w:hint="eastAsia" w:hAnsi="宋体" w:cs="Times New Roman"/>
                <w:color w:val="auto"/>
                <w:kern w:val="2"/>
                <w:sz w:val="21"/>
              </w:rPr>
              <w:t>在本合同的有效期内，经被保险人书面同意，您可以申请并经我们审核同意后办理保单贷款。最高贷款金额不超过您申请时本合同的现金价值扣除各项欠款及应付利息后余额的80％，且具体的贷款金额以您与我们签订的贷款协议中的约定为准。每次贷款期限最长不超过180日，贷款利率按您与我们签订的贷款协议中约定的利率执行。</w:t>
            </w:r>
          </w:p>
          <w:p>
            <w:pPr>
              <w:spacing w:before="78" w:beforeLines="25"/>
              <w:rPr>
                <w:rFonts w:ascii="宋体" w:hAnsi="宋体"/>
              </w:rPr>
            </w:pPr>
            <w:r>
              <w:rPr>
                <w:rFonts w:ascii="黑体" w:hAnsi="黑体" w:eastAsia="黑体"/>
              </w:rPr>
              <w:t>自贷款本金及利息加上其他各项欠款及应付利息达到</w:t>
            </w:r>
            <w:r>
              <w:rPr>
                <w:rFonts w:hint="eastAsia" w:ascii="黑体" w:hAnsi="黑体" w:eastAsia="黑体"/>
              </w:rPr>
              <w:t>本合同保单账户价值</w:t>
            </w:r>
            <w:r>
              <w:rPr>
                <w:rFonts w:ascii="黑体" w:hAnsi="黑体" w:eastAsia="黑体"/>
              </w:rPr>
              <w:t>的</w:t>
            </w:r>
            <w:r>
              <w:rPr>
                <w:rFonts w:hint="eastAsia" w:ascii="黑体" w:hAnsi="黑体" w:eastAsia="黑体"/>
              </w:rPr>
              <w:t>当日</w:t>
            </w:r>
            <w:r>
              <w:rPr>
                <w:rFonts w:ascii="黑体" w:hAnsi="黑体" w:eastAsia="黑体"/>
              </w:rPr>
              <w:t>24时</w:t>
            </w:r>
            <w:r>
              <w:rPr>
                <w:rFonts w:hint="eastAsia" w:ascii="黑体" w:hAnsi="黑体" w:eastAsia="黑体"/>
              </w:rPr>
              <w:t>起</w:t>
            </w:r>
            <w:r>
              <w:rPr>
                <w:rFonts w:ascii="黑体" w:hAnsi="黑体" w:eastAsia="黑体"/>
              </w:rPr>
              <w:t>，本合同效力中止</w:t>
            </w:r>
            <w:r>
              <w:rPr>
                <w:rFonts w:ascii="宋体" w:hAnsi="宋体"/>
              </w:rPr>
              <w:t>。</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gridSpan w:val="2"/>
          </w:tcPr>
          <w:p>
            <w:pPr>
              <w:spacing w:before="78" w:beforeLines="25"/>
              <w:rPr>
                <w:rFonts w:asciiTheme="minorEastAsia" w:hAnsiTheme="minorEastAsia" w:eastAsiaTheme="minorEastAsia"/>
                <w:b/>
              </w:rPr>
            </w:pPr>
          </w:p>
        </w:tc>
        <w:tc>
          <w:tcPr>
            <w:tcW w:w="7591" w:type="dxa"/>
            <w:gridSpan w:val="8"/>
          </w:tcPr>
          <w:p>
            <w:pPr>
              <w:spacing w:before="78" w:beforeLines="25"/>
              <w:rPr>
                <w:rFonts w:ascii="黑体" w:hAnsi="黑体" w:eastAsia="黑体"/>
              </w:rPr>
            </w:pPr>
          </w:p>
        </w:tc>
      </w:tr>
      <w:tr>
        <w:tblPrEx>
          <w:tblCellMar>
            <w:top w:w="0" w:type="dxa"/>
            <w:left w:w="108" w:type="dxa"/>
            <w:bottom w:w="0" w:type="dxa"/>
            <w:right w:w="108" w:type="dxa"/>
          </w:tblCellMar>
        </w:tblPrEx>
        <w:trPr>
          <w:trHeight w:val="510" w:hRule="exact"/>
        </w:trPr>
        <w:tc>
          <w:tcPr>
            <w:tcW w:w="668" w:type="dxa"/>
            <w:shd w:val="clear" w:color="auto" w:fill="auto"/>
            <w:vAlign w:val="center"/>
          </w:tcPr>
          <w:p>
            <w:pPr>
              <w:spacing w:before="78" w:beforeLines="25"/>
              <w:rPr>
                <w:rFonts w:ascii="宋体" w:hAnsi="宋体"/>
                <w:b/>
                <w:sz w:val="24"/>
              </w:rPr>
            </w:pPr>
            <w:r>
              <w:rPr>
                <w:rFonts w:hint="eastAsia" w:ascii="宋体" w:hAnsi="宋体"/>
                <w:b/>
                <w:sz w:val="24"/>
              </w:rPr>
              <w:t>5</w:t>
            </w:r>
            <w:r>
              <w:rPr>
                <w:rFonts w:ascii="宋体" w:hAnsi="宋体"/>
                <w:b/>
                <w:sz w:val="24"/>
              </w:rPr>
              <w:t>.</w:t>
            </w:r>
          </w:p>
        </w:tc>
        <w:tc>
          <w:tcPr>
            <w:tcW w:w="9146" w:type="dxa"/>
            <w:gridSpan w:val="10"/>
            <w:shd w:val="clear" w:color="auto" w:fill="auto"/>
            <w:vAlign w:val="center"/>
          </w:tcPr>
          <w:p>
            <w:pPr>
              <w:spacing w:before="78" w:beforeLines="25"/>
              <w:rPr>
                <w:rFonts w:ascii="宋体" w:hAnsi="宋体"/>
                <w:b/>
                <w:sz w:val="24"/>
              </w:rPr>
            </w:pPr>
            <w:r>
              <w:rPr>
                <w:rFonts w:hint="eastAsia" w:ascii="宋体" w:hAnsi="宋体"/>
                <w:b/>
                <w:sz w:val="24"/>
              </w:rPr>
              <w:t>如何领取保险金</w:t>
            </w:r>
          </w:p>
        </w:tc>
      </w:tr>
      <w:tr>
        <w:tblPrEx>
          <w:tblCellMar>
            <w:top w:w="0" w:type="dxa"/>
            <w:left w:w="108" w:type="dxa"/>
            <w:bottom w:w="0" w:type="dxa"/>
            <w:right w:w="108" w:type="dxa"/>
          </w:tblCellMar>
        </w:tblPrEx>
        <w:trPr>
          <w:trHeight w:val="170" w:hRule="exact"/>
        </w:trPr>
        <w:tc>
          <w:tcPr>
            <w:tcW w:w="668" w:type="dxa"/>
            <w:tcBorders>
              <w:top w:val="single" w:color="auto" w:sz="8" w:space="0"/>
            </w:tcBorders>
          </w:tcPr>
          <w:p>
            <w:pPr>
              <w:spacing w:before="78" w:beforeLines="25"/>
              <w:rPr>
                <w:rFonts w:ascii="宋体" w:hAnsi="宋体"/>
              </w:rPr>
            </w:pPr>
          </w:p>
        </w:tc>
        <w:tc>
          <w:tcPr>
            <w:tcW w:w="1555" w:type="dxa"/>
            <w:gridSpan w:val="2"/>
            <w:tcBorders>
              <w:top w:val="single" w:color="auto" w:sz="8" w:space="0"/>
            </w:tcBorders>
          </w:tcPr>
          <w:p>
            <w:pPr>
              <w:spacing w:before="78" w:beforeLines="25"/>
              <w:rPr>
                <w:rFonts w:ascii="宋体" w:hAnsi="宋体"/>
              </w:rPr>
            </w:pPr>
          </w:p>
        </w:tc>
        <w:tc>
          <w:tcPr>
            <w:tcW w:w="7591" w:type="dxa"/>
            <w:gridSpan w:val="8"/>
            <w:tcBorders>
              <w:top w:val="single" w:color="auto" w:sz="8" w:space="0"/>
            </w:tcBorders>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5</w:t>
            </w:r>
            <w:r>
              <w:rPr>
                <w:rFonts w:ascii="宋体" w:hAnsi="宋体"/>
                <w:b/>
              </w:rPr>
              <w:t>.1</w:t>
            </w:r>
          </w:p>
        </w:tc>
        <w:tc>
          <w:tcPr>
            <w:tcW w:w="1555" w:type="dxa"/>
            <w:gridSpan w:val="2"/>
          </w:tcPr>
          <w:p>
            <w:pPr>
              <w:spacing w:before="78" w:beforeLines="25"/>
              <w:jc w:val="left"/>
              <w:rPr>
                <w:rFonts w:ascii="宋体" w:hAnsi="宋体"/>
                <w:b/>
              </w:rPr>
            </w:pPr>
            <w:r>
              <w:rPr>
                <w:rFonts w:hint="eastAsia" w:ascii="宋体" w:hAnsi="宋体"/>
                <w:b/>
              </w:rPr>
              <w:t>受益人</w:t>
            </w:r>
          </w:p>
        </w:tc>
        <w:tc>
          <w:tcPr>
            <w:tcW w:w="7591" w:type="dxa"/>
            <w:gridSpan w:val="8"/>
          </w:tcPr>
          <w:p>
            <w:pPr>
              <w:spacing w:before="78" w:beforeLines="25"/>
              <w:rPr>
                <w:rFonts w:asciiTheme="minorEastAsia" w:hAnsiTheme="minorEastAsia" w:eastAsiaTheme="minorEastAsia"/>
                <w:b/>
              </w:rPr>
            </w:pPr>
            <w:r>
              <w:rPr>
                <w:rFonts w:asciiTheme="minorEastAsia" w:hAnsiTheme="minorEastAsia" w:eastAsiaTheme="minorEastAsia"/>
                <w:b/>
              </w:rPr>
              <w:t>1.</w:t>
            </w:r>
            <w:r>
              <w:rPr>
                <w:rFonts w:hint="eastAsia" w:asciiTheme="minorEastAsia" w:hAnsiTheme="minorEastAsia" w:eastAsiaTheme="minorEastAsia"/>
                <w:b/>
              </w:rPr>
              <w:t>养老保险金受益人</w:t>
            </w:r>
          </w:p>
          <w:p>
            <w:pPr>
              <w:spacing w:before="78" w:beforeLines="25"/>
              <w:rPr>
                <w:rFonts w:asciiTheme="minorEastAsia" w:hAnsiTheme="minorEastAsia" w:eastAsiaTheme="minorEastAsia"/>
              </w:rPr>
            </w:pPr>
            <w:r>
              <w:rPr>
                <w:rFonts w:hint="eastAsia" w:asciiTheme="minorEastAsia" w:hAnsiTheme="minorEastAsia" w:eastAsiaTheme="minorEastAsia"/>
              </w:rPr>
              <w:t>除另有指定外，养老保险金的受益人为本合同的投保人本人。</w:t>
            </w:r>
          </w:p>
          <w:p>
            <w:pPr>
              <w:spacing w:before="78" w:beforeLines="25"/>
              <w:rPr>
                <w:rFonts w:asciiTheme="minorEastAsia" w:hAnsiTheme="minorEastAsia" w:eastAsiaTheme="minorEastAsia"/>
                <w:b/>
              </w:rPr>
            </w:pPr>
            <w:r>
              <w:rPr>
                <w:rFonts w:asciiTheme="minorEastAsia" w:hAnsiTheme="minorEastAsia" w:eastAsiaTheme="minorEastAsia"/>
                <w:b/>
              </w:rPr>
              <w:t>2</w:t>
            </w:r>
            <w:r>
              <w:rPr>
                <w:rFonts w:hint="eastAsia" w:asciiTheme="minorEastAsia" w:hAnsiTheme="minorEastAsia" w:eastAsiaTheme="minorEastAsia"/>
                <w:b/>
              </w:rPr>
              <w:t>.身故保险金受益人</w:t>
            </w:r>
          </w:p>
          <w:p>
            <w:pPr>
              <w:spacing w:before="78" w:beforeLines="25"/>
              <w:rPr>
                <w:rFonts w:asciiTheme="minorEastAsia" w:hAnsiTheme="minorEastAsia" w:eastAsiaTheme="minorEastAsia"/>
              </w:rPr>
            </w:pPr>
            <w:r>
              <w:rPr>
                <w:rFonts w:hint="eastAsia" w:asciiTheme="minorEastAsia" w:hAnsiTheme="minorEastAsia" w:eastAsiaTheme="minorEastAsia"/>
              </w:rPr>
              <w:t>您或者被保险人可以指定一人或多人为身故保险金受益人。</w:t>
            </w:r>
          </w:p>
          <w:p>
            <w:pPr>
              <w:spacing w:before="78" w:beforeLines="25"/>
              <w:rPr>
                <w:rFonts w:asciiTheme="minorEastAsia" w:hAnsiTheme="minorEastAsia" w:eastAsiaTheme="minorEastAsia"/>
              </w:rPr>
            </w:pPr>
            <w:r>
              <w:rPr>
                <w:rFonts w:hint="eastAsia" w:asciiTheme="minorEastAsia" w:hAnsiTheme="minorEastAsia" w:eastAsiaTheme="minorEastAsia"/>
              </w:rPr>
              <w:t>身故保险金受益人为多人时，可以确定受益顺序和受益份额；如果没有确定份额，各受益人按照相等份额享有受益权。</w:t>
            </w:r>
          </w:p>
          <w:p>
            <w:pPr>
              <w:spacing w:before="78" w:beforeLines="25"/>
              <w:rPr>
                <w:rFonts w:asciiTheme="minorEastAsia" w:hAnsiTheme="minorEastAsia" w:eastAsiaTheme="minorEastAsia"/>
              </w:rPr>
            </w:pPr>
            <w:r>
              <w:rPr>
                <w:rFonts w:hint="eastAsia" w:asciiTheme="minorEastAsia" w:hAnsiTheme="minorEastAsia" w:eastAsiaTheme="minorEastAsia"/>
              </w:rPr>
              <w:t>被保险人为无民事行为能力人或限制民事行为能力人的，可以由其监护人指定受益人。</w:t>
            </w:r>
          </w:p>
          <w:p>
            <w:pPr>
              <w:spacing w:before="78" w:beforeLines="25"/>
              <w:rPr>
                <w:rFonts w:asciiTheme="minorEastAsia" w:hAnsiTheme="minorEastAsia" w:eastAsiaTheme="minorEastAsia"/>
              </w:rPr>
            </w:pPr>
          </w:p>
          <w:p>
            <w:pPr>
              <w:spacing w:before="78" w:beforeLines="25"/>
              <w:rPr>
                <w:rFonts w:asciiTheme="minorEastAsia" w:hAnsiTheme="minorEastAsia" w:eastAsiaTheme="minorEastAsia"/>
              </w:rPr>
            </w:pPr>
            <w:r>
              <w:rPr>
                <w:rFonts w:hint="eastAsia" w:asciiTheme="minorEastAsia" w:hAnsiTheme="minorEastAsia" w:eastAsiaTheme="minorEastAsia"/>
              </w:rPr>
              <w:t>您或者被保险人可以变更身故保险金受益人并书面通知我们。我们收到变更受益人的书面通知后，在保险单或其他保险凭证上批注或附贴批单。</w:t>
            </w:r>
          </w:p>
          <w:p>
            <w:pPr>
              <w:spacing w:before="78" w:beforeLines="25"/>
              <w:rPr>
                <w:rFonts w:asciiTheme="minorEastAsia" w:hAnsiTheme="minorEastAsia" w:eastAsiaTheme="minorEastAsia"/>
              </w:rPr>
            </w:pPr>
            <w:r>
              <w:rPr>
                <w:rFonts w:hint="eastAsia" w:asciiTheme="minorEastAsia" w:hAnsiTheme="minorEastAsia" w:eastAsiaTheme="minorEastAsia"/>
              </w:rPr>
              <w:t>您在指定和变更身故保险金受益人时，必须经过被保险人同意。</w:t>
            </w:r>
          </w:p>
          <w:p>
            <w:pPr>
              <w:spacing w:before="78" w:beforeLines="25"/>
              <w:rPr>
                <w:rFonts w:asciiTheme="minorEastAsia" w:hAnsiTheme="minorEastAsia" w:eastAsiaTheme="minorEastAsia"/>
              </w:rPr>
            </w:pPr>
            <w:r>
              <w:rPr>
                <w:rFonts w:hint="eastAsia" w:asciiTheme="minorEastAsia" w:hAnsiTheme="minorEastAsia" w:eastAsiaTheme="minorEastAsia"/>
              </w:rPr>
              <w:t>受益人故意造成被保险人身故、伤残、疾病的，或者故意杀害被保险人未遂的，该受益人丧失受益权。</w:t>
            </w:r>
          </w:p>
          <w:p>
            <w:pPr>
              <w:spacing w:before="78" w:beforeLines="25"/>
              <w:rPr>
                <w:rFonts w:asciiTheme="minorEastAsia" w:hAnsiTheme="minorEastAsia" w:eastAsiaTheme="minorEastAsia"/>
              </w:rPr>
            </w:pPr>
            <w:r>
              <w:rPr>
                <w:rFonts w:hint="eastAsia" w:asciiTheme="minorEastAsia" w:hAnsiTheme="minorEastAsia" w:eastAsiaTheme="minorEastAsia"/>
              </w:rPr>
              <w:t>被保险人身故后，有下列情形之一的，保险金作为被保险人的遗产，由我们依照关于继承的法律法规履行给付保险金的义务：</w:t>
            </w:r>
          </w:p>
          <w:p>
            <w:pPr>
              <w:numPr>
                <w:ilvl w:val="0"/>
                <w:numId w:val="3"/>
              </w:numPr>
              <w:spacing w:before="78" w:beforeLines="25"/>
              <w:ind w:left="737" w:hanging="737"/>
              <w:rPr>
                <w:rFonts w:asciiTheme="minorEastAsia" w:hAnsiTheme="minorEastAsia" w:eastAsiaTheme="minorEastAsia"/>
              </w:rPr>
            </w:pPr>
            <w:r>
              <w:rPr>
                <w:rFonts w:hint="eastAsia" w:asciiTheme="minorEastAsia" w:hAnsiTheme="minorEastAsia" w:eastAsiaTheme="minorEastAsia"/>
              </w:rPr>
              <w:t>没有指定受益人，或者受益人指定不明无法确定的；</w:t>
            </w:r>
          </w:p>
          <w:p>
            <w:pPr>
              <w:numPr>
                <w:ilvl w:val="0"/>
                <w:numId w:val="3"/>
              </w:numPr>
              <w:spacing w:before="78" w:beforeLines="25"/>
              <w:ind w:left="737" w:hanging="737"/>
              <w:rPr>
                <w:rFonts w:asciiTheme="minorEastAsia" w:hAnsiTheme="minorEastAsia" w:eastAsiaTheme="minorEastAsia"/>
              </w:rPr>
            </w:pPr>
            <w:r>
              <w:rPr>
                <w:rFonts w:hint="eastAsia" w:asciiTheme="minorEastAsia" w:hAnsiTheme="minorEastAsia" w:eastAsiaTheme="minorEastAsia"/>
              </w:rPr>
              <w:t>受益人先于被保险人身故，没有其他受益人的；</w:t>
            </w:r>
          </w:p>
          <w:p>
            <w:pPr>
              <w:numPr>
                <w:ilvl w:val="0"/>
                <w:numId w:val="3"/>
              </w:numPr>
              <w:spacing w:before="78" w:beforeLines="25"/>
              <w:ind w:left="737" w:hanging="737"/>
              <w:rPr>
                <w:rFonts w:asciiTheme="minorEastAsia" w:hAnsiTheme="minorEastAsia" w:eastAsiaTheme="minorEastAsia"/>
              </w:rPr>
            </w:pPr>
            <w:r>
              <w:rPr>
                <w:rFonts w:hint="eastAsia" w:asciiTheme="minorEastAsia" w:hAnsiTheme="minorEastAsia" w:eastAsiaTheme="minorEastAsia"/>
              </w:rPr>
              <w:t>受益人依法丧失受益权或者放弃受益权，没有其他受益人的。</w:t>
            </w:r>
          </w:p>
          <w:p>
            <w:pPr>
              <w:spacing w:before="78" w:beforeLines="25"/>
              <w:rPr>
                <w:rFonts w:asciiTheme="minorEastAsia" w:hAnsiTheme="minorEastAsia" w:eastAsiaTheme="minorEastAsia"/>
              </w:rPr>
            </w:pPr>
            <w:r>
              <w:rPr>
                <w:rFonts w:hint="eastAsia" w:asciiTheme="minorEastAsia" w:hAnsiTheme="minorEastAsia" w:eastAsiaTheme="minorEastAsia"/>
              </w:rPr>
              <w:t>受益人与被保险人在同一事件中身故，且不能确定身故先后顺序的，推定受益人身故在先。</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gridSpan w:val="2"/>
          </w:tcPr>
          <w:p>
            <w:pPr>
              <w:spacing w:before="78" w:beforeLines="25"/>
              <w:rPr>
                <w:rFonts w:ascii="宋体" w:hAnsi="宋体"/>
                <w:b/>
              </w:rPr>
            </w:pPr>
          </w:p>
        </w:tc>
        <w:tc>
          <w:tcPr>
            <w:tcW w:w="7591" w:type="dxa"/>
            <w:gridSpan w:val="8"/>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5.2</w:t>
            </w:r>
          </w:p>
        </w:tc>
        <w:tc>
          <w:tcPr>
            <w:tcW w:w="1555" w:type="dxa"/>
            <w:gridSpan w:val="2"/>
          </w:tcPr>
          <w:p>
            <w:pPr>
              <w:spacing w:before="78" w:beforeLines="25"/>
              <w:jc w:val="left"/>
              <w:rPr>
                <w:rFonts w:ascii="宋体" w:hAnsi="宋体"/>
                <w:b/>
              </w:rPr>
            </w:pPr>
            <w:r>
              <w:rPr>
                <w:rFonts w:hint="eastAsia" w:ascii="宋体" w:hAnsi="宋体"/>
                <w:b/>
              </w:rPr>
              <w:t>保险事故通知</w:t>
            </w:r>
          </w:p>
          <w:p>
            <w:pPr>
              <w:spacing w:before="78" w:beforeLines="25"/>
              <w:rPr>
                <w:rFonts w:ascii="宋体" w:hAnsi="宋体"/>
                <w:b/>
              </w:rPr>
            </w:pPr>
          </w:p>
        </w:tc>
        <w:tc>
          <w:tcPr>
            <w:tcW w:w="7591" w:type="dxa"/>
            <w:gridSpan w:val="8"/>
          </w:tcPr>
          <w:p>
            <w:pPr>
              <w:spacing w:before="78" w:beforeLines="25"/>
              <w:rPr>
                <w:rFonts w:asciiTheme="minorEastAsia" w:hAnsiTheme="minorEastAsia" w:eastAsiaTheme="minorEastAsia"/>
              </w:rPr>
            </w:pPr>
            <w:r>
              <w:rPr>
                <w:rFonts w:hint="eastAsia" w:asciiTheme="minorEastAsia" w:hAnsiTheme="minorEastAsia" w:eastAsiaTheme="minorEastAsia"/>
              </w:rPr>
              <w:t>您、被保险人或受益人知道保险事故发生后应当在</w:t>
            </w:r>
            <w:r>
              <w:rPr>
                <w:rFonts w:hint="eastAsia" w:ascii="黑体" w:hAnsi="黑体" w:eastAsia="黑体"/>
              </w:rPr>
              <w:t>10日</w:t>
            </w:r>
            <w:r>
              <w:rPr>
                <w:rFonts w:hint="eastAsia" w:asciiTheme="minorEastAsia" w:hAnsiTheme="minorEastAsia" w:eastAsiaTheme="minorEastAsia"/>
              </w:rPr>
              <w:t>内通知我们。</w:t>
            </w:r>
          </w:p>
          <w:p>
            <w:pPr>
              <w:spacing w:before="78" w:beforeLines="25"/>
              <w:rPr>
                <w:rFonts w:asciiTheme="minorEastAsia" w:hAnsiTheme="minorEastAsia" w:eastAsiaTheme="minorEastAsia"/>
              </w:rPr>
            </w:pPr>
            <w:r>
              <w:rPr>
                <w:rFonts w:hint="eastAsia" w:ascii="黑体" w:hAnsi="黑体" w:eastAsia="黑体"/>
              </w:rPr>
              <w:t>如果您、被保险人或受益人故意或者因重大过失未及时通知，致使保险事故的性质、原因、损失程度等难以确定的，我们对无法确定的部分不承担保险责任</w:t>
            </w:r>
            <w:r>
              <w:rPr>
                <w:rFonts w:hint="eastAsia" w:asciiTheme="minorEastAsia" w:hAnsiTheme="minorEastAsia" w:eastAsiaTheme="minorEastAsia"/>
              </w:rPr>
              <w:t>，但我们通过其他途径已经及时知道或者应当及时知道保险事故发生或者虽未及时通知但不影响我们确定保险事故的性质、原因、损失程度的除外。</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rPr>
            </w:pPr>
          </w:p>
        </w:tc>
        <w:tc>
          <w:tcPr>
            <w:tcW w:w="1555" w:type="dxa"/>
            <w:gridSpan w:val="2"/>
          </w:tcPr>
          <w:p>
            <w:pPr>
              <w:spacing w:before="78" w:beforeLines="25"/>
              <w:rPr>
                <w:rFonts w:ascii="宋体" w:hAnsi="宋体"/>
              </w:rPr>
            </w:pPr>
          </w:p>
        </w:tc>
        <w:tc>
          <w:tcPr>
            <w:tcW w:w="7591" w:type="dxa"/>
            <w:gridSpan w:val="8"/>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5</w:t>
            </w:r>
            <w:r>
              <w:rPr>
                <w:rFonts w:ascii="宋体" w:hAnsi="宋体"/>
                <w:b/>
              </w:rPr>
              <w:t>.</w:t>
            </w:r>
            <w:r>
              <w:rPr>
                <w:rFonts w:hint="eastAsia" w:ascii="宋体" w:hAnsi="宋体"/>
                <w:b/>
              </w:rPr>
              <w:t>3</w:t>
            </w:r>
          </w:p>
        </w:tc>
        <w:tc>
          <w:tcPr>
            <w:tcW w:w="1555" w:type="dxa"/>
            <w:gridSpan w:val="2"/>
          </w:tcPr>
          <w:p>
            <w:pPr>
              <w:spacing w:before="78" w:beforeLines="25"/>
              <w:jc w:val="left"/>
              <w:rPr>
                <w:rFonts w:ascii="宋体" w:hAnsi="宋体"/>
                <w:b/>
              </w:rPr>
            </w:pPr>
            <w:r>
              <w:rPr>
                <w:rFonts w:hint="eastAsia" w:ascii="宋体" w:hAnsi="宋体"/>
                <w:b/>
              </w:rPr>
              <w:t>保险金申请</w:t>
            </w:r>
          </w:p>
        </w:tc>
        <w:tc>
          <w:tcPr>
            <w:tcW w:w="7591" w:type="dxa"/>
            <w:gridSpan w:val="8"/>
          </w:tcPr>
          <w:p>
            <w:pPr>
              <w:spacing w:before="78" w:beforeLines="25"/>
              <w:rPr>
                <w:rFonts w:ascii="宋体" w:hAnsi="宋体"/>
              </w:rPr>
            </w:pPr>
            <w:r>
              <w:rPr>
                <w:rFonts w:ascii="宋体" w:hAnsi="宋体"/>
              </w:rPr>
              <w:t>申请保险金时，</w:t>
            </w:r>
            <w:r>
              <w:rPr>
                <w:rFonts w:hint="eastAsia" w:ascii="宋体" w:hAnsi="宋体"/>
              </w:rPr>
              <w:t>由相应保险金受益人作为申请人填写保险金给付申请书，并提供下列证明和资料：</w:t>
            </w:r>
          </w:p>
          <w:p>
            <w:pPr>
              <w:spacing w:before="78" w:beforeLines="25"/>
              <w:rPr>
                <w:rFonts w:ascii="宋体" w:hAnsi="宋体"/>
                <w:b/>
              </w:rPr>
            </w:pPr>
            <w:r>
              <w:rPr>
                <w:rFonts w:hint="eastAsia" w:ascii="宋体" w:hAnsi="宋体"/>
                <w:b/>
              </w:rPr>
              <w:t>1.养老保险金申请所需的证明和资料</w:t>
            </w:r>
          </w:p>
          <w:p>
            <w:pPr>
              <w:numPr>
                <w:ilvl w:val="0"/>
                <w:numId w:val="4"/>
              </w:numPr>
              <w:spacing w:before="78" w:beforeLines="25"/>
              <w:rPr>
                <w:rFonts w:ascii="宋体" w:hAnsi="宋体"/>
              </w:rPr>
            </w:pPr>
            <w:r>
              <w:rPr>
                <w:rFonts w:hint="eastAsia" w:ascii="宋体" w:hAnsi="宋体"/>
              </w:rPr>
              <w:t>保险</w:t>
            </w:r>
            <w:r>
              <w:rPr>
                <w:rFonts w:ascii="宋体" w:hAnsi="宋体"/>
              </w:rPr>
              <w:t>合同；</w:t>
            </w:r>
          </w:p>
          <w:p>
            <w:pPr>
              <w:numPr>
                <w:ilvl w:val="0"/>
                <w:numId w:val="4"/>
              </w:numPr>
              <w:spacing w:before="78" w:beforeLines="25"/>
              <w:rPr>
                <w:rFonts w:ascii="宋体" w:hAnsi="宋体"/>
              </w:rPr>
            </w:pPr>
            <w:r>
              <w:rPr>
                <w:rFonts w:hint="eastAsia" w:ascii="宋体" w:hAnsi="宋体"/>
              </w:rPr>
              <w:t>申请</w:t>
            </w:r>
            <w:r>
              <w:rPr>
                <w:rFonts w:ascii="宋体" w:hAnsi="宋体"/>
              </w:rPr>
              <w:t>人</w:t>
            </w:r>
            <w:r>
              <w:rPr>
                <w:rFonts w:hint="eastAsia" w:ascii="宋体" w:hAnsi="宋体"/>
              </w:rPr>
              <w:t>及被保险人</w:t>
            </w:r>
            <w:r>
              <w:rPr>
                <w:rFonts w:ascii="宋体" w:hAnsi="宋体"/>
              </w:rPr>
              <w:t>的有效身份证件；</w:t>
            </w:r>
          </w:p>
          <w:p>
            <w:pPr>
              <w:numPr>
                <w:ilvl w:val="0"/>
                <w:numId w:val="4"/>
              </w:numPr>
              <w:spacing w:before="78" w:beforeLines="25"/>
              <w:rPr>
                <w:rFonts w:ascii="宋体" w:hAnsi="宋体"/>
              </w:rPr>
            </w:pPr>
            <w:r>
              <w:rPr>
                <w:rFonts w:hint="eastAsia" w:ascii="宋体" w:hAnsi="宋体"/>
              </w:rPr>
              <w:t>所能提供的</w:t>
            </w:r>
            <w:r>
              <w:rPr>
                <w:rFonts w:ascii="宋体" w:hAnsi="宋体"/>
              </w:rPr>
              <w:t>与确认保险事故的性质、原因等有关的其他证明和资料</w:t>
            </w:r>
            <w:r>
              <w:rPr>
                <w:rFonts w:hint="eastAsia" w:ascii="宋体" w:hAnsi="宋体"/>
              </w:rPr>
              <w:t>。</w:t>
            </w:r>
          </w:p>
          <w:p>
            <w:pPr>
              <w:spacing w:before="78" w:beforeLines="25"/>
              <w:rPr>
                <w:rFonts w:ascii="宋体" w:hAnsi="宋体"/>
                <w:b/>
              </w:rPr>
            </w:pPr>
            <w:r>
              <w:rPr>
                <w:rFonts w:hint="eastAsia" w:ascii="宋体" w:hAnsi="宋体"/>
                <w:b/>
              </w:rPr>
              <w:t>2</w:t>
            </w:r>
            <w:r>
              <w:rPr>
                <w:rFonts w:ascii="宋体" w:hAnsi="宋体"/>
                <w:b/>
              </w:rPr>
              <w:t>.</w:t>
            </w:r>
            <w:r>
              <w:rPr>
                <w:rFonts w:hint="eastAsia" w:ascii="宋体" w:hAnsi="宋体"/>
                <w:b/>
              </w:rPr>
              <w:t>身故保险金申请所需的证明和资料</w:t>
            </w:r>
          </w:p>
          <w:p>
            <w:pPr>
              <w:numPr>
                <w:ilvl w:val="0"/>
                <w:numId w:val="5"/>
              </w:numPr>
              <w:spacing w:before="78" w:beforeLines="25"/>
              <w:ind w:left="720" w:hanging="720"/>
              <w:rPr>
                <w:rFonts w:ascii="宋体" w:hAnsi="宋体"/>
              </w:rPr>
            </w:pPr>
            <w:r>
              <w:rPr>
                <w:rFonts w:hint="eastAsia" w:ascii="宋体" w:hAnsi="宋体"/>
              </w:rPr>
              <w:t>保险合同；</w:t>
            </w:r>
          </w:p>
          <w:p>
            <w:pPr>
              <w:numPr>
                <w:ilvl w:val="0"/>
                <w:numId w:val="5"/>
              </w:numPr>
              <w:spacing w:before="78" w:beforeLines="25"/>
              <w:ind w:left="720" w:hanging="720"/>
              <w:rPr>
                <w:rFonts w:ascii="宋体" w:hAnsi="宋体"/>
              </w:rPr>
            </w:pPr>
            <w:r>
              <w:rPr>
                <w:rFonts w:hint="eastAsia" w:ascii="宋体" w:hAnsi="宋体"/>
              </w:rPr>
              <w:t>申请人的有效身份证件；</w:t>
            </w:r>
          </w:p>
          <w:p>
            <w:pPr>
              <w:numPr>
                <w:ilvl w:val="0"/>
                <w:numId w:val="5"/>
              </w:numPr>
              <w:spacing w:before="78" w:beforeLines="25"/>
              <w:ind w:left="720" w:hanging="720"/>
              <w:rPr>
                <w:rFonts w:ascii="宋体" w:hAnsi="宋体"/>
              </w:rPr>
            </w:pPr>
            <w:r>
              <w:rPr>
                <w:rFonts w:hint="eastAsia" w:ascii="宋体" w:hAnsi="宋体"/>
              </w:rPr>
              <w:t>国家卫生行政部门认定的医疗机构、公安部门或其他相关机构出具的被保险人的死亡证明；</w:t>
            </w:r>
          </w:p>
          <w:p>
            <w:pPr>
              <w:numPr>
                <w:ilvl w:val="0"/>
                <w:numId w:val="5"/>
              </w:numPr>
              <w:spacing w:before="78" w:beforeLines="25"/>
              <w:ind w:left="720" w:hanging="720"/>
              <w:rPr>
                <w:rFonts w:ascii="宋体" w:hAnsi="宋体"/>
              </w:rPr>
            </w:pPr>
            <w:r>
              <w:rPr>
                <w:rFonts w:hint="eastAsia" w:ascii="宋体" w:hAnsi="宋体"/>
              </w:rPr>
              <w:t>所能提供的与确认保险事故的性质、原因等有关的其他证明和资料。</w:t>
            </w:r>
          </w:p>
        </w:tc>
      </w:tr>
      <w:tr>
        <w:tblPrEx>
          <w:tblCellMar>
            <w:top w:w="0" w:type="dxa"/>
            <w:left w:w="108" w:type="dxa"/>
            <w:bottom w:w="0" w:type="dxa"/>
            <w:right w:w="108" w:type="dxa"/>
          </w:tblCellMar>
        </w:tblPrEx>
        <w:trPr>
          <w:trHeight w:val="113" w:hRule="exact"/>
        </w:trPr>
        <w:tc>
          <w:tcPr>
            <w:tcW w:w="668" w:type="dxa"/>
          </w:tcPr>
          <w:p>
            <w:pPr>
              <w:spacing w:before="78" w:beforeLines="25"/>
              <w:rPr>
                <w:rFonts w:ascii="宋体" w:hAnsi="宋体"/>
              </w:rPr>
            </w:pPr>
          </w:p>
        </w:tc>
        <w:tc>
          <w:tcPr>
            <w:tcW w:w="1555" w:type="dxa"/>
            <w:gridSpan w:val="2"/>
          </w:tcPr>
          <w:p>
            <w:pPr>
              <w:spacing w:before="78" w:beforeLines="25"/>
              <w:rPr>
                <w:rFonts w:ascii="宋体" w:hAnsi="宋体"/>
              </w:rPr>
            </w:pPr>
          </w:p>
        </w:tc>
        <w:tc>
          <w:tcPr>
            <w:tcW w:w="7591" w:type="dxa"/>
            <w:gridSpan w:val="8"/>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rPr>
            </w:pPr>
          </w:p>
        </w:tc>
        <w:tc>
          <w:tcPr>
            <w:tcW w:w="1555" w:type="dxa"/>
            <w:gridSpan w:val="2"/>
          </w:tcPr>
          <w:p>
            <w:pPr>
              <w:spacing w:before="78" w:beforeLines="25"/>
              <w:rPr>
                <w:rFonts w:ascii="宋体" w:hAnsi="宋体"/>
                <w:b/>
              </w:rPr>
            </w:pPr>
          </w:p>
        </w:tc>
        <w:tc>
          <w:tcPr>
            <w:tcW w:w="7591" w:type="dxa"/>
            <w:gridSpan w:val="8"/>
          </w:tcPr>
          <w:p>
            <w:pPr>
              <w:spacing w:before="78" w:beforeLines="25"/>
              <w:rPr>
                <w:rFonts w:ascii="宋体" w:hAnsi="宋体"/>
              </w:rPr>
            </w:pPr>
            <w:r>
              <w:rPr>
                <w:rFonts w:ascii="黑体" w:hAnsi="黑体" w:eastAsia="黑体"/>
              </w:rPr>
              <w:t>保险金作为被保险人遗产时，继承人还须提供可证明其合法继承权的相关权利文件。</w:t>
            </w:r>
          </w:p>
          <w:p>
            <w:pPr>
              <w:spacing w:before="78" w:beforeLines="25"/>
              <w:rPr>
                <w:rFonts w:ascii="宋体" w:hAnsi="宋体"/>
              </w:rPr>
            </w:pPr>
            <w:r>
              <w:rPr>
                <w:rFonts w:hint="eastAsia" w:ascii="宋体" w:hAnsi="宋体"/>
              </w:rPr>
              <w:t>以上证明和资料不完整的，我们将及时一次性通知申请人补充提供。</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rPr>
            </w:pPr>
          </w:p>
        </w:tc>
        <w:tc>
          <w:tcPr>
            <w:tcW w:w="1555" w:type="dxa"/>
            <w:gridSpan w:val="2"/>
          </w:tcPr>
          <w:p>
            <w:pPr>
              <w:spacing w:before="78" w:beforeLines="25"/>
              <w:rPr>
                <w:rFonts w:ascii="宋体" w:hAnsi="宋体"/>
              </w:rPr>
            </w:pPr>
          </w:p>
        </w:tc>
        <w:tc>
          <w:tcPr>
            <w:tcW w:w="7591" w:type="dxa"/>
            <w:gridSpan w:val="8"/>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rPr>
            </w:pPr>
            <w:r>
              <w:rPr>
                <w:rFonts w:hint="eastAsia" w:ascii="宋体" w:hAnsi="宋体"/>
                <w:b/>
              </w:rPr>
              <w:t>5.4</w:t>
            </w:r>
          </w:p>
        </w:tc>
        <w:tc>
          <w:tcPr>
            <w:tcW w:w="1555" w:type="dxa"/>
            <w:gridSpan w:val="2"/>
          </w:tcPr>
          <w:p>
            <w:pPr>
              <w:spacing w:before="78" w:beforeLines="25"/>
              <w:jc w:val="left"/>
              <w:rPr>
                <w:rFonts w:ascii="宋体" w:hAnsi="宋体" w:eastAsia="楷体_GB2312"/>
                <w:b/>
                <w:szCs w:val="21"/>
              </w:rPr>
            </w:pPr>
            <w:r>
              <w:rPr>
                <w:rFonts w:hint="eastAsia" w:ascii="宋体" w:hAnsi="宋体"/>
                <w:b/>
              </w:rPr>
              <w:t>保险金给付</w:t>
            </w:r>
          </w:p>
        </w:tc>
        <w:tc>
          <w:tcPr>
            <w:tcW w:w="7591" w:type="dxa"/>
            <w:gridSpan w:val="8"/>
          </w:tcPr>
          <w:p>
            <w:pPr>
              <w:spacing w:before="78" w:beforeLines="25"/>
              <w:rPr>
                <w:rFonts w:ascii="宋体" w:hAnsi="宋体"/>
              </w:rPr>
            </w:pPr>
            <w:r>
              <w:rPr>
                <w:rFonts w:hint="eastAsia" w:ascii="宋体" w:hAnsi="宋体"/>
              </w:rPr>
              <w:t>我们在收到保险金给付申请书及保险金申请所需证明和资料后，将在5日内作出核定；情形复杂的，在30日内作出核定。若我们要求投保人、被保险人或者受益人补充提供有关证明和资料的，则上述的30日不包括补充提供有关证明和资料的期间。</w:t>
            </w:r>
          </w:p>
          <w:p>
            <w:pPr>
              <w:spacing w:before="78" w:beforeLines="25"/>
              <w:rPr>
                <w:rFonts w:ascii="宋体" w:hAnsi="宋体"/>
              </w:rPr>
            </w:pPr>
            <w:r>
              <w:rPr>
                <w:rFonts w:hint="eastAsia" w:ascii="宋体" w:hAnsi="宋体"/>
              </w:rPr>
              <w:t>经我们核定属于保险责任的，我们在与受益人达成有关给付保险金数额的协议后10日内，履行给付保险金义务。</w:t>
            </w:r>
          </w:p>
          <w:p>
            <w:pPr>
              <w:spacing w:before="78" w:beforeLines="25"/>
              <w:rPr>
                <w:rFonts w:ascii="宋体" w:hAnsi="宋体"/>
              </w:rPr>
            </w:pPr>
            <w:r>
              <w:rPr>
                <w:rFonts w:hint="eastAsia" w:ascii="宋体" w:hAnsi="宋体"/>
              </w:rPr>
              <w:t>我们未及时履行前款规定义务的，将赔偿受益人因此受到的损失。前述“损失”指根据我们确定的利率按单利计算的利息损失，我们确定的利率不低于中国人民银行公布的金融机构人民币活期存款基准利率。</w:t>
            </w:r>
          </w:p>
          <w:p>
            <w:pPr>
              <w:spacing w:before="78" w:beforeLines="25"/>
              <w:rPr>
                <w:rFonts w:ascii="宋体" w:hAnsi="宋体"/>
              </w:rPr>
            </w:pPr>
            <w:r>
              <w:rPr>
                <w:rFonts w:hint="eastAsia" w:ascii="宋体" w:hAnsi="宋体"/>
              </w:rPr>
              <w:t>对不属于保险责任的，我们自作出核定之日起3日内向受益人发出拒绝给付保险金通知书，并说明理由。</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gridSpan w:val="2"/>
          </w:tcPr>
          <w:p>
            <w:pPr>
              <w:spacing w:before="78" w:beforeLines="25"/>
              <w:jc w:val="left"/>
              <w:rPr>
                <w:rFonts w:ascii="宋体" w:hAnsi="宋体"/>
                <w:b/>
              </w:rPr>
            </w:pPr>
          </w:p>
        </w:tc>
        <w:tc>
          <w:tcPr>
            <w:tcW w:w="7591" w:type="dxa"/>
            <w:gridSpan w:val="8"/>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tabs>
                <w:tab w:val="left" w:pos="501"/>
              </w:tabs>
              <w:spacing w:before="78" w:beforeLines="25"/>
              <w:rPr>
                <w:rFonts w:ascii="宋体" w:hAnsi="宋体"/>
                <w:b/>
              </w:rPr>
            </w:pPr>
            <w:r>
              <w:rPr>
                <w:rFonts w:hint="eastAsia" w:ascii="宋体" w:hAnsi="宋体"/>
                <w:b/>
              </w:rPr>
              <w:t>5.5</w:t>
            </w:r>
          </w:p>
        </w:tc>
        <w:tc>
          <w:tcPr>
            <w:tcW w:w="1555" w:type="dxa"/>
            <w:gridSpan w:val="2"/>
          </w:tcPr>
          <w:p>
            <w:pPr>
              <w:spacing w:before="78" w:beforeLines="25"/>
              <w:rPr>
                <w:rFonts w:ascii="宋体" w:hAnsi="宋体"/>
                <w:b/>
              </w:rPr>
            </w:pPr>
            <w:r>
              <w:rPr>
                <w:rFonts w:hint="eastAsia" w:ascii="宋体" w:hAnsi="宋体"/>
                <w:b/>
              </w:rPr>
              <w:t>宣告死亡处理</w:t>
            </w:r>
          </w:p>
        </w:tc>
        <w:tc>
          <w:tcPr>
            <w:tcW w:w="7591" w:type="dxa"/>
            <w:gridSpan w:val="8"/>
          </w:tcPr>
          <w:p>
            <w:pPr>
              <w:spacing w:before="78" w:beforeLines="25"/>
              <w:rPr>
                <w:rFonts w:ascii="宋体" w:hAnsi="宋体"/>
              </w:rPr>
            </w:pPr>
            <w:r>
              <w:rPr>
                <w:rFonts w:hint="eastAsia" w:ascii="宋体" w:hAnsi="宋体"/>
              </w:rPr>
              <w:t>在本合同保险期间内，被保险人下落不明且经人民法院宣告被保险人死亡的，我们根据人民法院宣告死亡判决依法确定被保险人死亡日期，并按本条款与身故有关的约定处理。若被保险人在宣告死亡后重新出现，身故保险金受益人或继承人应于知道或应该知道被保险人重新出现后30日内将领取的身故保险金退还给我们。</w:t>
            </w:r>
          </w:p>
        </w:tc>
      </w:tr>
      <w:tr>
        <w:tblPrEx>
          <w:tblCellMar>
            <w:top w:w="0" w:type="dxa"/>
            <w:left w:w="108" w:type="dxa"/>
            <w:bottom w:w="0" w:type="dxa"/>
            <w:right w:w="108" w:type="dxa"/>
          </w:tblCellMar>
        </w:tblPrEx>
        <w:trPr>
          <w:trHeight w:val="170" w:hRule="exact"/>
        </w:trPr>
        <w:tc>
          <w:tcPr>
            <w:tcW w:w="668" w:type="dxa"/>
          </w:tcPr>
          <w:p>
            <w:pPr>
              <w:tabs>
                <w:tab w:val="left" w:pos="501"/>
              </w:tabs>
              <w:spacing w:before="78" w:beforeLines="25"/>
              <w:rPr>
                <w:rFonts w:ascii="宋体" w:hAnsi="宋体"/>
                <w:b/>
              </w:rPr>
            </w:pPr>
          </w:p>
        </w:tc>
        <w:tc>
          <w:tcPr>
            <w:tcW w:w="1555" w:type="dxa"/>
            <w:gridSpan w:val="2"/>
          </w:tcPr>
          <w:p>
            <w:pPr>
              <w:spacing w:before="78" w:beforeLines="25"/>
              <w:rPr>
                <w:rFonts w:ascii="宋体" w:hAnsi="宋体"/>
                <w:b/>
              </w:rPr>
            </w:pPr>
          </w:p>
        </w:tc>
        <w:tc>
          <w:tcPr>
            <w:tcW w:w="7591" w:type="dxa"/>
            <w:gridSpan w:val="8"/>
          </w:tcPr>
          <w:p>
            <w:pPr>
              <w:spacing w:before="78" w:beforeLines="25"/>
              <w:rPr>
                <w:rFonts w:ascii="宋体" w:hAnsi="宋体"/>
              </w:rPr>
            </w:pPr>
          </w:p>
        </w:tc>
      </w:tr>
      <w:tr>
        <w:tblPrEx>
          <w:tblCellMar>
            <w:top w:w="0" w:type="dxa"/>
            <w:left w:w="108" w:type="dxa"/>
            <w:bottom w:w="0" w:type="dxa"/>
            <w:right w:w="108" w:type="dxa"/>
          </w:tblCellMar>
        </w:tblPrEx>
        <w:trPr>
          <w:trHeight w:val="510" w:hRule="exact"/>
        </w:trPr>
        <w:tc>
          <w:tcPr>
            <w:tcW w:w="668" w:type="dxa"/>
            <w:shd w:val="clear" w:color="auto" w:fill="auto"/>
            <w:vAlign w:val="center"/>
          </w:tcPr>
          <w:p>
            <w:pPr>
              <w:spacing w:before="78" w:beforeLines="25"/>
              <w:rPr>
                <w:rFonts w:ascii="宋体" w:hAnsi="宋体"/>
                <w:b/>
                <w:sz w:val="24"/>
              </w:rPr>
            </w:pPr>
            <w:r>
              <w:rPr>
                <w:rFonts w:hint="eastAsia" w:ascii="宋体" w:hAnsi="宋体"/>
                <w:b/>
                <w:sz w:val="24"/>
              </w:rPr>
              <w:t>6</w:t>
            </w:r>
            <w:r>
              <w:rPr>
                <w:rFonts w:ascii="宋体" w:hAnsi="宋体"/>
                <w:b/>
                <w:sz w:val="24"/>
              </w:rPr>
              <w:t>.</w:t>
            </w:r>
          </w:p>
        </w:tc>
        <w:tc>
          <w:tcPr>
            <w:tcW w:w="9146" w:type="dxa"/>
            <w:gridSpan w:val="10"/>
            <w:shd w:val="clear" w:color="auto" w:fill="auto"/>
            <w:vAlign w:val="center"/>
          </w:tcPr>
          <w:p>
            <w:pPr>
              <w:spacing w:before="78" w:beforeLines="25"/>
              <w:rPr>
                <w:rFonts w:ascii="宋体" w:hAnsi="宋体"/>
                <w:b/>
                <w:sz w:val="24"/>
              </w:rPr>
            </w:pPr>
            <w:r>
              <w:rPr>
                <w:rFonts w:hint="eastAsia" w:ascii="宋体" w:hAnsi="宋体"/>
                <w:b/>
                <w:sz w:val="24"/>
              </w:rPr>
              <w:t>如何退保</w:t>
            </w:r>
          </w:p>
        </w:tc>
      </w:tr>
      <w:tr>
        <w:tblPrEx>
          <w:tblCellMar>
            <w:top w:w="0" w:type="dxa"/>
            <w:left w:w="108" w:type="dxa"/>
            <w:bottom w:w="0" w:type="dxa"/>
            <w:right w:w="108" w:type="dxa"/>
          </w:tblCellMar>
        </w:tblPrEx>
        <w:trPr>
          <w:trHeight w:val="170" w:hRule="exact"/>
        </w:trPr>
        <w:tc>
          <w:tcPr>
            <w:tcW w:w="668" w:type="dxa"/>
            <w:tcBorders>
              <w:top w:val="single" w:color="auto" w:sz="8" w:space="0"/>
            </w:tcBorders>
          </w:tcPr>
          <w:p>
            <w:pPr>
              <w:spacing w:before="78" w:beforeLines="25"/>
              <w:rPr>
                <w:rFonts w:ascii="宋体" w:hAnsi="宋体"/>
              </w:rPr>
            </w:pPr>
          </w:p>
        </w:tc>
        <w:tc>
          <w:tcPr>
            <w:tcW w:w="1555" w:type="dxa"/>
            <w:gridSpan w:val="2"/>
            <w:tcBorders>
              <w:top w:val="single" w:color="auto" w:sz="8" w:space="0"/>
            </w:tcBorders>
          </w:tcPr>
          <w:p>
            <w:pPr>
              <w:spacing w:before="78" w:beforeLines="25"/>
              <w:rPr>
                <w:rFonts w:ascii="宋体" w:hAnsi="宋体"/>
              </w:rPr>
            </w:pPr>
          </w:p>
        </w:tc>
        <w:tc>
          <w:tcPr>
            <w:tcW w:w="7591" w:type="dxa"/>
            <w:gridSpan w:val="8"/>
            <w:tcBorders>
              <w:top w:val="single" w:color="auto" w:sz="8" w:space="0"/>
            </w:tcBorders>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6</w:t>
            </w:r>
            <w:r>
              <w:rPr>
                <w:rFonts w:ascii="宋体" w:hAnsi="宋体"/>
                <w:b/>
              </w:rPr>
              <w:t>.1</w:t>
            </w:r>
          </w:p>
        </w:tc>
        <w:tc>
          <w:tcPr>
            <w:tcW w:w="1555" w:type="dxa"/>
            <w:gridSpan w:val="2"/>
          </w:tcPr>
          <w:p>
            <w:pPr>
              <w:spacing w:before="78" w:beforeLines="25"/>
              <w:jc w:val="left"/>
              <w:rPr>
                <w:rFonts w:ascii="宋体" w:hAnsi="宋体"/>
                <w:b/>
              </w:rPr>
            </w:pPr>
            <w:r>
              <w:rPr>
                <w:rFonts w:hint="eastAsia" w:ascii="宋体" w:hAnsi="宋体"/>
                <w:b/>
              </w:rPr>
              <w:t>犹豫期</w:t>
            </w:r>
          </w:p>
        </w:tc>
        <w:tc>
          <w:tcPr>
            <w:tcW w:w="7591" w:type="dxa"/>
            <w:gridSpan w:val="8"/>
          </w:tcPr>
          <w:p>
            <w:pPr>
              <w:spacing w:before="78" w:beforeLines="25"/>
              <w:rPr>
                <w:rFonts w:asciiTheme="minorEastAsia" w:hAnsiTheme="minorEastAsia" w:eastAsiaTheme="minorEastAsia"/>
              </w:rPr>
            </w:pPr>
            <w:r>
              <w:rPr>
                <w:rFonts w:hint="eastAsia" w:ascii="宋体" w:hAnsi="宋体"/>
              </w:rPr>
              <w:t>自您</w:t>
            </w:r>
            <w:r>
              <w:rPr>
                <w:rFonts w:hint="eastAsia" w:ascii="宋体" w:hAnsi="宋体"/>
                <w:b/>
              </w:rPr>
              <w:t>签收本合同之日</w:t>
            </w:r>
            <w:r>
              <w:rPr>
                <w:rStyle w:val="14"/>
                <w:rFonts w:ascii="宋体" w:hAnsi="宋体"/>
                <w:b/>
              </w:rPr>
              <w:footnoteReference w:id="14"/>
            </w:r>
            <w:r>
              <w:rPr>
                <w:rFonts w:hint="eastAsia" w:ascii="宋体" w:hAnsi="宋体"/>
              </w:rPr>
              <w:t>起，有</w:t>
            </w:r>
            <w:r>
              <w:rPr>
                <w:rFonts w:hint="eastAsia" w:ascii="黑体" w:hAnsi="黑体" w:eastAsia="黑体"/>
              </w:rPr>
              <w:t>15日</w:t>
            </w:r>
            <w:r>
              <w:rPr>
                <w:rFonts w:hint="eastAsia" w:ascii="宋体" w:hAnsi="宋体"/>
              </w:rPr>
              <w:t>的犹豫期。</w:t>
            </w:r>
            <w:r>
              <w:rPr>
                <w:rFonts w:hint="eastAsia" w:asciiTheme="minorEastAsia" w:hAnsiTheme="minorEastAsia" w:eastAsiaTheme="minorEastAsia"/>
              </w:rPr>
              <w:t>在此期间请您认真审视本合同，如果您认为本合同与您的需求不相符，您可以在此期间提出解除本合同，我们将退还您所支付的全部保险费。</w:t>
            </w:r>
          </w:p>
          <w:p>
            <w:pPr>
              <w:spacing w:before="78" w:beforeLines="25"/>
              <w:rPr>
                <w:rFonts w:ascii="黑体" w:hAnsi="黑体" w:eastAsia="黑体"/>
              </w:rPr>
            </w:pPr>
            <w:r>
              <w:rPr>
                <w:rFonts w:hint="eastAsia" w:asciiTheme="minorEastAsia" w:hAnsiTheme="minorEastAsia" w:eastAsiaTheme="minorEastAsia"/>
              </w:rPr>
              <w:t>解除本合同时，您需要填写解除合同通知书，并提供您的保险合同及有效身份证件。</w:t>
            </w:r>
            <w:r>
              <w:rPr>
                <w:rFonts w:hint="eastAsia" w:ascii="黑体" w:hAnsi="黑体" w:eastAsia="黑体"/>
              </w:rPr>
              <w:t>自我们收到您解除合同的通知书时，本合同即被解除，合同解除前发生的保险事故我们不承担保险责任。</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rPr>
            </w:pPr>
          </w:p>
        </w:tc>
        <w:tc>
          <w:tcPr>
            <w:tcW w:w="1555" w:type="dxa"/>
            <w:gridSpan w:val="2"/>
          </w:tcPr>
          <w:p>
            <w:pPr>
              <w:spacing w:before="78" w:beforeLines="25"/>
              <w:jc w:val="left"/>
              <w:rPr>
                <w:rFonts w:ascii="宋体" w:hAnsi="宋体"/>
              </w:rPr>
            </w:pPr>
          </w:p>
        </w:tc>
        <w:tc>
          <w:tcPr>
            <w:tcW w:w="7591" w:type="dxa"/>
            <w:gridSpan w:val="8"/>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6</w:t>
            </w:r>
            <w:r>
              <w:rPr>
                <w:rFonts w:ascii="宋体" w:hAnsi="宋体"/>
                <w:b/>
              </w:rPr>
              <w:t>.2</w:t>
            </w:r>
          </w:p>
        </w:tc>
        <w:tc>
          <w:tcPr>
            <w:tcW w:w="1555" w:type="dxa"/>
            <w:gridSpan w:val="2"/>
          </w:tcPr>
          <w:p>
            <w:pPr>
              <w:spacing w:before="78" w:beforeLines="25"/>
              <w:jc w:val="left"/>
              <w:rPr>
                <w:rFonts w:ascii="宋体" w:hAnsi="宋体"/>
                <w:b/>
              </w:rPr>
            </w:pPr>
            <w:r>
              <w:rPr>
                <w:rFonts w:hint="eastAsia" w:ascii="宋体" w:hAnsi="宋体"/>
                <w:b/>
              </w:rPr>
              <w:t>您解除合同的手续及风险</w:t>
            </w:r>
          </w:p>
        </w:tc>
        <w:tc>
          <w:tcPr>
            <w:tcW w:w="7591" w:type="dxa"/>
            <w:gridSpan w:val="8"/>
          </w:tcPr>
          <w:p>
            <w:pPr>
              <w:spacing w:before="78" w:beforeLines="25"/>
              <w:rPr>
                <w:rFonts w:asciiTheme="minorEastAsia" w:hAnsiTheme="minorEastAsia" w:eastAsiaTheme="minorEastAsia"/>
              </w:rPr>
            </w:pPr>
            <w:r>
              <w:rPr>
                <w:rFonts w:hint="eastAsia" w:asciiTheme="minorEastAsia" w:hAnsiTheme="minorEastAsia" w:eastAsiaTheme="minorEastAsia"/>
              </w:rPr>
              <w:t>本合同成立后，您可以解除本合同，请填写解除合同通知书并向我们提供下列证明和资料：</w:t>
            </w:r>
          </w:p>
          <w:p>
            <w:pPr>
              <w:numPr>
                <w:ilvl w:val="0"/>
                <w:numId w:val="6"/>
              </w:numPr>
              <w:spacing w:before="78" w:beforeLines="25"/>
              <w:ind w:left="737" w:hanging="737"/>
              <w:rPr>
                <w:rFonts w:asciiTheme="minorEastAsia" w:hAnsiTheme="minorEastAsia" w:eastAsiaTheme="minorEastAsia"/>
              </w:rPr>
            </w:pPr>
            <w:r>
              <w:rPr>
                <w:rFonts w:hint="eastAsia" w:asciiTheme="minorEastAsia" w:hAnsiTheme="minorEastAsia" w:eastAsiaTheme="minorEastAsia"/>
              </w:rPr>
              <w:t xml:space="preserve">保险合同； </w:t>
            </w:r>
          </w:p>
          <w:p>
            <w:pPr>
              <w:numPr>
                <w:ilvl w:val="0"/>
                <w:numId w:val="6"/>
              </w:numPr>
              <w:spacing w:before="78" w:beforeLines="25"/>
              <w:ind w:left="737" w:hanging="737"/>
              <w:rPr>
                <w:rFonts w:asciiTheme="minorEastAsia" w:hAnsiTheme="minorEastAsia" w:eastAsiaTheme="minorEastAsia"/>
              </w:rPr>
            </w:pPr>
            <w:r>
              <w:rPr>
                <w:rFonts w:hint="eastAsia" w:asciiTheme="minorEastAsia" w:hAnsiTheme="minorEastAsia" w:eastAsiaTheme="minorEastAsia"/>
              </w:rPr>
              <w:t>您的有效身份证件。</w:t>
            </w:r>
          </w:p>
          <w:p>
            <w:pPr>
              <w:spacing w:before="78" w:beforeLines="25"/>
              <w:rPr>
                <w:rFonts w:ascii="黑体" w:hAnsi="黑体" w:eastAsia="黑体"/>
              </w:rPr>
            </w:pPr>
            <w:r>
              <w:rPr>
                <w:rFonts w:hint="eastAsia" w:asciiTheme="minorEastAsia" w:hAnsiTheme="minorEastAsia" w:eastAsiaTheme="minorEastAsia"/>
              </w:rPr>
              <w:t>自我们收到解除合同通知书时起，本合同终止。您在犹豫期后解除本合同的，我们自收到解除合同通知书之日起30日内向您退还本合同的现金价值。</w:t>
            </w:r>
          </w:p>
          <w:p>
            <w:pPr>
              <w:spacing w:before="78" w:beforeLines="25"/>
              <w:rPr>
                <w:rFonts w:ascii="黑体" w:hAnsi="黑体" w:eastAsia="黑体"/>
              </w:rPr>
            </w:pPr>
            <w:r>
              <w:rPr>
                <w:rFonts w:hint="eastAsia" w:ascii="黑体" w:hAnsi="黑体" w:eastAsia="黑体"/>
              </w:rPr>
              <w:t>您在犹豫期后解除合同可能会遭受一定损失</w:t>
            </w:r>
            <w:r>
              <w:rPr>
                <w:rFonts w:hint="eastAsia" w:ascii="黑体" w:hAnsi="宋体" w:eastAsia="黑体"/>
              </w:rPr>
              <w:t>。</w:t>
            </w:r>
          </w:p>
        </w:tc>
      </w:tr>
      <w:tr>
        <w:tblPrEx>
          <w:tblCellMar>
            <w:top w:w="0" w:type="dxa"/>
            <w:left w:w="108" w:type="dxa"/>
            <w:bottom w:w="0" w:type="dxa"/>
            <w:right w:w="108" w:type="dxa"/>
          </w:tblCellMar>
        </w:tblPrEx>
        <w:trPr>
          <w:trHeight w:val="170" w:hRule="exact"/>
        </w:trPr>
        <w:tc>
          <w:tcPr>
            <w:tcW w:w="668" w:type="dxa"/>
          </w:tcPr>
          <w:p>
            <w:pPr>
              <w:tabs>
                <w:tab w:val="left" w:pos="501"/>
              </w:tabs>
              <w:spacing w:before="78" w:beforeLines="25"/>
              <w:rPr>
                <w:rFonts w:ascii="宋体" w:hAnsi="宋体"/>
                <w:b/>
              </w:rPr>
            </w:pPr>
          </w:p>
        </w:tc>
        <w:tc>
          <w:tcPr>
            <w:tcW w:w="1555" w:type="dxa"/>
            <w:gridSpan w:val="2"/>
          </w:tcPr>
          <w:p>
            <w:pPr>
              <w:spacing w:before="78" w:beforeLines="25"/>
              <w:rPr>
                <w:rFonts w:ascii="宋体" w:hAnsi="宋体"/>
                <w:b/>
              </w:rPr>
            </w:pPr>
          </w:p>
        </w:tc>
        <w:tc>
          <w:tcPr>
            <w:tcW w:w="7591" w:type="dxa"/>
            <w:gridSpan w:val="8"/>
          </w:tcPr>
          <w:p>
            <w:pPr>
              <w:spacing w:before="78" w:beforeLines="25"/>
              <w:rPr>
                <w:rFonts w:ascii="宋体" w:hAnsi="宋体"/>
              </w:rPr>
            </w:pPr>
          </w:p>
        </w:tc>
      </w:tr>
      <w:tr>
        <w:tblPrEx>
          <w:tblCellMar>
            <w:top w:w="0" w:type="dxa"/>
            <w:left w:w="108" w:type="dxa"/>
            <w:bottom w:w="0" w:type="dxa"/>
            <w:right w:w="108" w:type="dxa"/>
          </w:tblCellMar>
        </w:tblPrEx>
        <w:trPr>
          <w:trHeight w:val="510" w:hRule="exact"/>
        </w:trPr>
        <w:tc>
          <w:tcPr>
            <w:tcW w:w="668" w:type="dxa"/>
            <w:shd w:val="clear" w:color="auto" w:fill="auto"/>
            <w:vAlign w:val="center"/>
          </w:tcPr>
          <w:p>
            <w:pPr>
              <w:spacing w:before="78" w:beforeLines="25"/>
              <w:rPr>
                <w:rFonts w:ascii="宋体" w:hAnsi="宋体"/>
                <w:b/>
                <w:sz w:val="24"/>
              </w:rPr>
            </w:pPr>
            <w:r>
              <w:rPr>
                <w:rFonts w:hint="eastAsia" w:ascii="宋体" w:hAnsi="宋体"/>
                <w:b/>
                <w:sz w:val="24"/>
              </w:rPr>
              <w:t>7</w:t>
            </w:r>
            <w:r>
              <w:rPr>
                <w:rFonts w:ascii="宋体" w:hAnsi="宋体"/>
                <w:b/>
                <w:sz w:val="24"/>
              </w:rPr>
              <w:t>.</w:t>
            </w:r>
          </w:p>
        </w:tc>
        <w:tc>
          <w:tcPr>
            <w:tcW w:w="9146" w:type="dxa"/>
            <w:gridSpan w:val="10"/>
            <w:shd w:val="clear" w:color="auto" w:fill="auto"/>
            <w:vAlign w:val="center"/>
          </w:tcPr>
          <w:p>
            <w:pPr>
              <w:spacing w:before="78" w:beforeLines="25"/>
              <w:rPr>
                <w:rFonts w:ascii="宋体" w:hAnsi="宋体"/>
                <w:b/>
                <w:sz w:val="24"/>
              </w:rPr>
            </w:pPr>
            <w:r>
              <w:rPr>
                <w:rFonts w:hint="eastAsia" w:ascii="宋体" w:hAnsi="宋体"/>
                <w:b/>
                <w:sz w:val="24"/>
              </w:rPr>
              <w:t>合同的构成与生效</w:t>
            </w:r>
          </w:p>
        </w:tc>
      </w:tr>
      <w:tr>
        <w:tblPrEx>
          <w:tblCellMar>
            <w:top w:w="0" w:type="dxa"/>
            <w:left w:w="108" w:type="dxa"/>
            <w:bottom w:w="0" w:type="dxa"/>
            <w:right w:w="108" w:type="dxa"/>
          </w:tblCellMar>
        </w:tblPrEx>
        <w:trPr>
          <w:trHeight w:val="170" w:hRule="exact"/>
        </w:trPr>
        <w:tc>
          <w:tcPr>
            <w:tcW w:w="668" w:type="dxa"/>
            <w:tcBorders>
              <w:top w:val="single" w:color="auto" w:sz="8" w:space="0"/>
            </w:tcBorders>
          </w:tcPr>
          <w:p>
            <w:pPr>
              <w:spacing w:before="78" w:beforeLines="25"/>
              <w:rPr>
                <w:rFonts w:ascii="宋体" w:hAnsi="宋体"/>
              </w:rPr>
            </w:pPr>
          </w:p>
        </w:tc>
        <w:tc>
          <w:tcPr>
            <w:tcW w:w="1555" w:type="dxa"/>
            <w:gridSpan w:val="2"/>
            <w:tcBorders>
              <w:top w:val="single" w:color="auto" w:sz="8" w:space="0"/>
            </w:tcBorders>
          </w:tcPr>
          <w:p>
            <w:pPr>
              <w:spacing w:before="78" w:beforeLines="25"/>
              <w:rPr>
                <w:rFonts w:ascii="宋体" w:hAnsi="宋体"/>
              </w:rPr>
            </w:pPr>
          </w:p>
        </w:tc>
        <w:tc>
          <w:tcPr>
            <w:tcW w:w="7591" w:type="dxa"/>
            <w:gridSpan w:val="8"/>
            <w:tcBorders>
              <w:top w:val="single" w:color="auto" w:sz="8" w:space="0"/>
            </w:tcBorders>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7.1</w:t>
            </w:r>
          </w:p>
        </w:tc>
        <w:tc>
          <w:tcPr>
            <w:tcW w:w="1555" w:type="dxa"/>
            <w:gridSpan w:val="2"/>
          </w:tcPr>
          <w:p>
            <w:pPr>
              <w:spacing w:before="78" w:beforeLines="25"/>
              <w:jc w:val="left"/>
              <w:rPr>
                <w:rFonts w:ascii="宋体" w:hAnsi="宋体"/>
                <w:b/>
              </w:rPr>
            </w:pPr>
            <w:r>
              <w:rPr>
                <w:rFonts w:hint="eastAsia" w:ascii="宋体" w:hAnsi="宋体"/>
                <w:b/>
              </w:rPr>
              <w:t>合同构成</w:t>
            </w:r>
          </w:p>
        </w:tc>
        <w:tc>
          <w:tcPr>
            <w:tcW w:w="7591" w:type="dxa"/>
            <w:gridSpan w:val="8"/>
          </w:tcPr>
          <w:p>
            <w:pPr>
              <w:spacing w:before="78" w:beforeLines="25"/>
              <w:rPr>
                <w:rFonts w:ascii="宋体" w:hAnsi="宋体"/>
              </w:rPr>
            </w:pPr>
            <w:r>
              <w:rPr>
                <w:rFonts w:hint="eastAsia" w:ascii="宋体" w:hAnsi="宋体"/>
              </w:rPr>
              <w:t>泰康颐瑞2号（尊赢版）养老年金保险（万能型）合同（简称本合同）由本保险条款、保险单或其他保险凭证、投保单、与本合同有关的投保文件、声明、批注、批单以及与本合同有关的其他书面材料共同构成</w:t>
            </w:r>
            <w:r>
              <w:rPr>
                <w:rFonts w:ascii="宋体" w:hAnsi="宋体"/>
              </w:rPr>
              <w:t>。</w:t>
            </w:r>
          </w:p>
        </w:tc>
      </w:tr>
      <w:tr>
        <w:tblPrEx>
          <w:tblCellMar>
            <w:top w:w="0" w:type="dxa"/>
            <w:left w:w="108" w:type="dxa"/>
            <w:bottom w:w="0" w:type="dxa"/>
            <w:right w:w="108" w:type="dxa"/>
          </w:tblCellMar>
        </w:tblPrEx>
        <w:trPr>
          <w:trHeight w:val="170" w:hRule="exact"/>
        </w:trPr>
        <w:tc>
          <w:tcPr>
            <w:tcW w:w="668" w:type="dxa"/>
          </w:tcPr>
          <w:p>
            <w:pPr>
              <w:spacing w:before="78" w:beforeLines="25"/>
              <w:rPr>
                <w:rFonts w:ascii="宋体" w:hAnsi="宋体"/>
                <w:b/>
              </w:rPr>
            </w:pPr>
          </w:p>
        </w:tc>
        <w:tc>
          <w:tcPr>
            <w:tcW w:w="1555" w:type="dxa"/>
            <w:gridSpan w:val="2"/>
          </w:tcPr>
          <w:p>
            <w:pPr>
              <w:spacing w:before="78" w:beforeLines="25"/>
              <w:jc w:val="left"/>
              <w:rPr>
                <w:rFonts w:ascii="宋体" w:hAnsi="宋体"/>
                <w:b/>
              </w:rPr>
            </w:pPr>
          </w:p>
        </w:tc>
        <w:tc>
          <w:tcPr>
            <w:tcW w:w="7591" w:type="dxa"/>
            <w:gridSpan w:val="8"/>
          </w:tcPr>
          <w:p>
            <w:pPr>
              <w:spacing w:before="78" w:beforeLines="25"/>
              <w:rPr>
                <w:rFonts w:ascii="宋体" w:hAnsi="宋体"/>
              </w:rPr>
            </w:pPr>
          </w:p>
        </w:tc>
      </w:tr>
      <w:tr>
        <w:tblPrEx>
          <w:tblCellMar>
            <w:top w:w="0" w:type="dxa"/>
            <w:left w:w="108" w:type="dxa"/>
            <w:bottom w:w="0" w:type="dxa"/>
            <w:right w:w="108" w:type="dxa"/>
          </w:tblCellMar>
        </w:tblPrEx>
        <w:tc>
          <w:tcPr>
            <w:tcW w:w="668" w:type="dxa"/>
          </w:tcPr>
          <w:p>
            <w:pPr>
              <w:spacing w:before="78" w:beforeLines="25"/>
              <w:rPr>
                <w:rFonts w:ascii="宋体" w:hAnsi="宋体"/>
                <w:b/>
              </w:rPr>
            </w:pPr>
            <w:r>
              <w:rPr>
                <w:rFonts w:hint="eastAsia" w:ascii="宋体" w:hAnsi="宋体"/>
                <w:b/>
              </w:rPr>
              <w:t>7.2</w:t>
            </w:r>
          </w:p>
        </w:tc>
        <w:tc>
          <w:tcPr>
            <w:tcW w:w="1555" w:type="dxa"/>
            <w:gridSpan w:val="2"/>
          </w:tcPr>
          <w:p>
            <w:pPr>
              <w:spacing w:before="78" w:beforeLines="25"/>
              <w:jc w:val="left"/>
              <w:rPr>
                <w:rFonts w:ascii="宋体" w:hAnsi="宋体"/>
                <w:b/>
              </w:rPr>
            </w:pPr>
            <w:r>
              <w:rPr>
                <w:rFonts w:hint="eastAsia" w:ascii="宋体" w:hAnsi="宋体"/>
                <w:b/>
              </w:rPr>
              <w:t>合同成立与生效</w:t>
            </w:r>
          </w:p>
        </w:tc>
        <w:tc>
          <w:tcPr>
            <w:tcW w:w="7591" w:type="dxa"/>
            <w:gridSpan w:val="8"/>
          </w:tcPr>
          <w:p>
            <w:pPr>
              <w:spacing w:before="78" w:beforeLines="25"/>
              <w:rPr>
                <w:rFonts w:ascii="宋体" w:hAnsi="宋体"/>
              </w:rPr>
            </w:pPr>
            <w:r>
              <w:rPr>
                <w:rFonts w:hint="eastAsia" w:ascii="宋体" w:hAnsi="宋体"/>
              </w:rPr>
              <w:t>您提出保险申请且我们同意承保，本合同成立。本合同成立日期在保险单上载明。</w:t>
            </w:r>
          </w:p>
          <w:p>
            <w:pPr>
              <w:spacing w:before="78" w:beforeLines="25"/>
              <w:rPr>
                <w:rFonts w:ascii="宋体" w:hAnsi="宋体"/>
              </w:rPr>
            </w:pPr>
            <w:r>
              <w:rPr>
                <w:rFonts w:hint="eastAsia" w:ascii="宋体" w:hAnsi="宋体"/>
              </w:rPr>
              <w:t>本合同生效日期在保险单上载明。保单年度以本合同的生效日期为基础进行计算。</w:t>
            </w:r>
          </w:p>
          <w:p>
            <w:pPr>
              <w:spacing w:before="78" w:beforeLines="25"/>
              <w:rPr>
                <w:rFonts w:ascii="楷体_GB2312" w:hAnsi="宋体" w:eastAsia="楷体_GB2312"/>
              </w:rPr>
            </w:pPr>
            <w:r>
              <w:rPr>
                <w:rFonts w:hint="eastAsia" w:ascii="宋体" w:hAnsi="宋体"/>
              </w:rPr>
              <w:t>除另有约定外，我们自本合同生效日零时起开始承担保险责任。</w:t>
            </w:r>
          </w:p>
        </w:tc>
      </w:tr>
      <w:tr>
        <w:tblPrEx>
          <w:tblCellMar>
            <w:top w:w="0" w:type="dxa"/>
            <w:left w:w="108" w:type="dxa"/>
            <w:bottom w:w="0" w:type="dxa"/>
            <w:right w:w="108" w:type="dxa"/>
          </w:tblCellMar>
        </w:tblPrEx>
        <w:trPr>
          <w:trHeight w:val="170" w:hRule="exact"/>
        </w:trPr>
        <w:tc>
          <w:tcPr>
            <w:tcW w:w="668" w:type="dxa"/>
          </w:tcPr>
          <w:p>
            <w:pPr>
              <w:tabs>
                <w:tab w:val="left" w:pos="426"/>
              </w:tabs>
              <w:spacing w:before="78" w:beforeLines="25"/>
              <w:rPr>
                <w:rFonts w:ascii="宋体" w:hAnsi="宋体"/>
                <w:b/>
              </w:rPr>
            </w:pPr>
            <w:r>
              <w:rPr>
                <w:rFonts w:ascii="宋体" w:hAnsi="宋体"/>
                <w:b/>
              </w:rPr>
              <w:tab/>
            </w:r>
          </w:p>
        </w:tc>
        <w:tc>
          <w:tcPr>
            <w:tcW w:w="1555" w:type="dxa"/>
            <w:gridSpan w:val="2"/>
          </w:tcPr>
          <w:p>
            <w:pPr>
              <w:spacing w:before="78" w:beforeLines="25"/>
              <w:rPr>
                <w:rFonts w:ascii="宋体" w:hAnsi="宋体"/>
                <w:b/>
                <w:szCs w:val="21"/>
              </w:rPr>
            </w:pPr>
          </w:p>
        </w:tc>
        <w:tc>
          <w:tcPr>
            <w:tcW w:w="7591" w:type="dxa"/>
            <w:gridSpan w:val="8"/>
          </w:tcPr>
          <w:p>
            <w:pPr>
              <w:spacing w:before="78" w:beforeLines="25"/>
              <w:rPr>
                <w:rFonts w:ascii="宋体" w:hAnsi="宋体"/>
              </w:rPr>
            </w:pPr>
          </w:p>
        </w:tc>
      </w:tr>
      <w:tr>
        <w:tblPrEx>
          <w:tblCellMar>
            <w:top w:w="0" w:type="dxa"/>
            <w:left w:w="108" w:type="dxa"/>
            <w:bottom w:w="0" w:type="dxa"/>
            <w:right w:w="108" w:type="dxa"/>
          </w:tblCellMar>
        </w:tblPrEx>
        <w:trPr>
          <w:trHeight w:val="510" w:hRule="exact"/>
        </w:trPr>
        <w:tc>
          <w:tcPr>
            <w:tcW w:w="668" w:type="dxa"/>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8</w:t>
            </w:r>
            <w:r>
              <w:rPr>
                <w:rFonts w:ascii="宋体" w:hAnsi="宋体"/>
                <w:b/>
                <w:sz w:val="24"/>
              </w:rPr>
              <w:t>.</w:t>
            </w:r>
          </w:p>
        </w:tc>
        <w:tc>
          <w:tcPr>
            <w:tcW w:w="9146" w:type="dxa"/>
            <w:gridSpan w:val="10"/>
            <w:tcBorders>
              <w:bottom w:val="single" w:color="auto" w:sz="8" w:space="0"/>
            </w:tcBorders>
            <w:shd w:val="clear" w:color="auto" w:fill="auto"/>
            <w:vAlign w:val="center"/>
          </w:tcPr>
          <w:p>
            <w:pPr>
              <w:spacing w:before="78" w:beforeLines="25"/>
              <w:rPr>
                <w:rFonts w:ascii="宋体" w:hAnsi="宋体"/>
                <w:b/>
                <w:sz w:val="24"/>
              </w:rPr>
            </w:pPr>
            <w:r>
              <w:rPr>
                <w:rFonts w:hint="eastAsia" w:ascii="宋体" w:hAnsi="宋体"/>
                <w:b/>
                <w:sz w:val="24"/>
              </w:rPr>
              <w:t>需关注</w:t>
            </w:r>
            <w:r>
              <w:rPr>
                <w:rFonts w:ascii="宋体" w:hAnsi="宋体"/>
                <w:b/>
                <w:sz w:val="24"/>
              </w:rPr>
              <w:t>的其他事项</w:t>
            </w:r>
          </w:p>
        </w:tc>
      </w:tr>
      <w:tr>
        <w:tblPrEx>
          <w:tblCellMar>
            <w:top w:w="0" w:type="dxa"/>
            <w:left w:w="108" w:type="dxa"/>
            <w:bottom w:w="0" w:type="dxa"/>
            <w:right w:w="108" w:type="dxa"/>
          </w:tblCellMar>
        </w:tblPrEx>
        <w:trPr>
          <w:trHeight w:val="170" w:hRule="exact"/>
        </w:trPr>
        <w:tc>
          <w:tcPr>
            <w:tcW w:w="668" w:type="dxa"/>
            <w:tcBorders>
              <w:top w:val="single" w:color="auto" w:sz="8" w:space="0"/>
            </w:tcBorders>
            <w:shd w:val="clear" w:color="auto" w:fill="auto"/>
            <w:vAlign w:val="center"/>
          </w:tcPr>
          <w:p>
            <w:pPr>
              <w:spacing w:before="78" w:beforeLines="25"/>
              <w:rPr>
                <w:rFonts w:ascii="宋体" w:hAnsi="宋体"/>
                <w:b/>
                <w:sz w:val="24"/>
              </w:rPr>
            </w:pPr>
          </w:p>
        </w:tc>
        <w:tc>
          <w:tcPr>
            <w:tcW w:w="9146" w:type="dxa"/>
            <w:gridSpan w:val="10"/>
            <w:tcBorders>
              <w:top w:val="single" w:color="auto" w:sz="8" w:space="0"/>
            </w:tcBorders>
            <w:shd w:val="clear" w:color="auto" w:fill="auto"/>
            <w:vAlign w:val="center"/>
          </w:tcPr>
          <w:p>
            <w:pPr>
              <w:spacing w:before="78" w:beforeLines="25"/>
              <w:rPr>
                <w:rFonts w:ascii="宋体" w:hAnsi="宋体"/>
                <w:b/>
                <w:sz w:val="24"/>
              </w:rPr>
            </w:pPr>
          </w:p>
        </w:tc>
      </w:tr>
      <w:tr>
        <w:tblPrEx>
          <w:tblCellMar>
            <w:top w:w="0" w:type="dxa"/>
            <w:left w:w="108" w:type="dxa"/>
            <w:bottom w:w="0" w:type="dxa"/>
            <w:right w:w="108" w:type="dxa"/>
          </w:tblCellMar>
        </w:tblPrEx>
        <w:tc>
          <w:tcPr>
            <w:tcW w:w="668" w:type="dxa"/>
            <w:shd w:val="clear" w:color="auto" w:fill="auto"/>
          </w:tcPr>
          <w:p>
            <w:pPr>
              <w:spacing w:before="78" w:beforeLines="25"/>
              <w:rPr>
                <w:rFonts w:ascii="宋体" w:hAnsi="宋体"/>
                <w:b/>
                <w:sz w:val="24"/>
              </w:rPr>
            </w:pPr>
            <w:r>
              <w:rPr>
                <w:rFonts w:hint="eastAsia" w:ascii="宋体" w:hAnsi="宋体"/>
                <w:b/>
              </w:rPr>
              <w:t>8.</w:t>
            </w:r>
            <w:r>
              <w:rPr>
                <w:rFonts w:ascii="宋体" w:hAnsi="宋体"/>
                <w:b/>
              </w:rPr>
              <w:t>1</w:t>
            </w:r>
          </w:p>
        </w:tc>
        <w:tc>
          <w:tcPr>
            <w:tcW w:w="1555" w:type="dxa"/>
            <w:gridSpan w:val="2"/>
            <w:shd w:val="clear" w:color="auto" w:fill="auto"/>
          </w:tcPr>
          <w:p>
            <w:pPr>
              <w:spacing w:before="78" w:beforeLines="25"/>
              <w:jc w:val="left"/>
              <w:rPr>
                <w:rFonts w:ascii="宋体" w:hAnsi="宋体"/>
                <w:b/>
                <w:szCs w:val="21"/>
              </w:rPr>
            </w:pPr>
            <w:r>
              <w:rPr>
                <w:rFonts w:hint="eastAsia" w:ascii="宋体" w:hAnsi="宋体"/>
                <w:b/>
                <w:szCs w:val="21"/>
              </w:rPr>
              <w:t>明确说明</w:t>
            </w:r>
            <w:r>
              <w:rPr>
                <w:rFonts w:ascii="宋体" w:hAnsi="宋体"/>
                <w:b/>
                <w:szCs w:val="21"/>
              </w:rPr>
              <w:t>与如实告知</w:t>
            </w:r>
          </w:p>
        </w:tc>
        <w:tc>
          <w:tcPr>
            <w:tcW w:w="7591" w:type="dxa"/>
            <w:gridSpan w:val="8"/>
            <w:shd w:val="clear" w:color="auto" w:fill="auto"/>
          </w:tcPr>
          <w:p>
            <w:pPr>
              <w:spacing w:before="78" w:beforeLines="25"/>
              <w:rPr>
                <w:rFonts w:ascii="宋体" w:hAnsi="宋体"/>
                <w:szCs w:val="21"/>
              </w:rPr>
            </w:pPr>
            <w:r>
              <w:rPr>
                <w:rFonts w:hint="eastAsia" w:ascii="宋体" w:hAnsi="宋体"/>
                <w:szCs w:val="21"/>
              </w:rPr>
              <w:t>订立本合同时，我们应当向您说明本合同的内容。对保险条款中免除我们责任的条款，我们在订立合同时应当在投保单、保险单或者其他保险凭证上作出足以引起您注意的提示，并对该条款的内容以书面或者口头形式向您作出明确说明，未作提示或者明确说明的，该条款不成为合同的内容。</w:t>
            </w:r>
          </w:p>
          <w:p>
            <w:pPr>
              <w:spacing w:before="78" w:beforeLines="25"/>
              <w:rPr>
                <w:rFonts w:ascii="宋体" w:hAnsi="宋体"/>
                <w:szCs w:val="21"/>
              </w:rPr>
            </w:pPr>
            <w:r>
              <w:rPr>
                <w:rFonts w:hint="eastAsia" w:ascii="宋体" w:hAnsi="宋体"/>
                <w:szCs w:val="21"/>
              </w:rPr>
              <w:t>订立本合同时，我们就您和被保险人的有关情况提出询问，您应当如实告知。</w:t>
            </w:r>
          </w:p>
          <w:p>
            <w:pPr>
              <w:spacing w:before="78" w:beforeLines="25"/>
              <w:rPr>
                <w:rFonts w:ascii="黑体" w:hAnsi="黑体" w:eastAsia="黑体"/>
                <w:szCs w:val="21"/>
              </w:rPr>
            </w:pPr>
            <w:r>
              <w:rPr>
                <w:rFonts w:hint="eastAsia" w:ascii="黑体" w:hAnsi="黑体" w:eastAsia="黑体"/>
                <w:szCs w:val="21"/>
              </w:rPr>
              <w:t>如果您故意或者因重大过失未履行前款规定的如实告知义务，足以影响我们决定是否同意承保的，我们有权解除本合同，本合同自解除之日起终止。</w:t>
            </w:r>
          </w:p>
          <w:p>
            <w:pPr>
              <w:spacing w:before="78" w:beforeLines="25"/>
              <w:rPr>
                <w:rFonts w:ascii="黑体" w:hAnsi="黑体" w:eastAsia="黑体"/>
                <w:szCs w:val="21"/>
              </w:rPr>
            </w:pPr>
            <w:r>
              <w:rPr>
                <w:rFonts w:hint="eastAsia" w:ascii="黑体" w:hAnsi="黑体" w:eastAsia="黑体"/>
                <w:szCs w:val="21"/>
              </w:rPr>
              <w:t>如果您故意不履行如实告知义务，对于本合同解除前发生的保险事故，我们不承担保险责任，但可以向您退还本合同终止之日的现金价值。</w:t>
            </w:r>
          </w:p>
          <w:p>
            <w:pPr>
              <w:spacing w:before="78" w:beforeLines="25"/>
              <w:rPr>
                <w:rFonts w:ascii="宋体" w:hAnsi="宋体"/>
                <w:b/>
                <w:sz w:val="24"/>
              </w:rPr>
            </w:pPr>
            <w:r>
              <w:rPr>
                <w:rFonts w:hint="eastAsia" w:ascii="黑体" w:hAnsi="黑体" w:eastAsia="黑体"/>
                <w:szCs w:val="21"/>
              </w:rPr>
              <w:t>如果您因重大过失未履行如实告知义务，对保险事故的发生有严重影响的，对于本合同解除前发生的保险事故，我们不承担保险责任，但会向您退还保险费，退还时需扣除您累计已申请部分领取的金额。</w:t>
            </w:r>
          </w:p>
        </w:tc>
      </w:tr>
      <w:tr>
        <w:tblPrEx>
          <w:tblCellMar>
            <w:top w:w="0" w:type="dxa"/>
            <w:left w:w="108" w:type="dxa"/>
            <w:bottom w:w="0" w:type="dxa"/>
            <w:right w:w="108" w:type="dxa"/>
          </w:tblCellMar>
        </w:tblPrEx>
        <w:tc>
          <w:tcPr>
            <w:tcW w:w="668" w:type="dxa"/>
            <w:shd w:val="clear" w:color="auto" w:fill="auto"/>
          </w:tcPr>
          <w:p>
            <w:pPr>
              <w:spacing w:before="78" w:beforeLines="25"/>
              <w:rPr>
                <w:rFonts w:ascii="宋体" w:hAnsi="宋体"/>
                <w:b/>
              </w:rPr>
            </w:pPr>
            <w:r>
              <w:rPr>
                <w:rFonts w:hint="eastAsia" w:ascii="宋体" w:hAnsi="宋体"/>
                <w:b/>
              </w:rPr>
              <w:t>8.2</w:t>
            </w:r>
          </w:p>
        </w:tc>
        <w:tc>
          <w:tcPr>
            <w:tcW w:w="1555" w:type="dxa"/>
            <w:gridSpan w:val="2"/>
            <w:shd w:val="clear" w:color="auto" w:fill="auto"/>
          </w:tcPr>
          <w:p>
            <w:pPr>
              <w:spacing w:before="78" w:beforeLines="25"/>
              <w:rPr>
                <w:rFonts w:ascii="宋体" w:hAnsi="宋体"/>
                <w:b/>
                <w:szCs w:val="21"/>
              </w:rPr>
            </w:pPr>
            <w:r>
              <w:rPr>
                <w:rFonts w:hint="eastAsia" w:ascii="宋体" w:hAnsi="宋体"/>
                <w:b/>
                <w:szCs w:val="21"/>
              </w:rPr>
              <w:t>本公司合同解除权的限制</w:t>
            </w:r>
          </w:p>
        </w:tc>
        <w:tc>
          <w:tcPr>
            <w:tcW w:w="7591" w:type="dxa"/>
            <w:gridSpan w:val="8"/>
            <w:shd w:val="clear" w:color="auto" w:fill="auto"/>
          </w:tcPr>
          <w:p>
            <w:pPr>
              <w:spacing w:before="78" w:beforeLines="25"/>
              <w:rPr>
                <w:rFonts w:ascii="宋体" w:hAnsi="宋体"/>
              </w:rPr>
            </w:pPr>
            <w:r>
              <w:rPr>
                <w:rFonts w:hint="eastAsia" w:ascii="宋体" w:hAnsi="宋体"/>
              </w:rPr>
              <w:t>本条款第8.1、8.4条规定的合同解除权，自我们知道有解除事由之日起，超过30日不行使而消灭。自本合同成立之日起超过2年的，我们不得解除合同；发生保险事故的，我们承担保险责任。</w:t>
            </w:r>
          </w:p>
          <w:p>
            <w:pPr>
              <w:spacing w:before="78" w:beforeLines="25"/>
              <w:rPr>
                <w:rFonts w:ascii="宋体" w:hAnsi="宋体"/>
              </w:rPr>
            </w:pPr>
            <w:r>
              <w:rPr>
                <w:rFonts w:hint="eastAsia" w:ascii="宋体" w:hAnsi="宋体"/>
              </w:rPr>
              <w:t>我们在合同订立时已经知道您未如实告知的情况的，我们不得解除合同；发生保险事故的，我们应当承担保险责任。</w:t>
            </w:r>
          </w:p>
        </w:tc>
      </w:tr>
      <w:tr>
        <w:tblPrEx>
          <w:tblCellMar>
            <w:top w:w="0" w:type="dxa"/>
            <w:left w:w="108" w:type="dxa"/>
            <w:bottom w:w="0" w:type="dxa"/>
            <w:right w:w="108" w:type="dxa"/>
          </w:tblCellMar>
        </w:tblPrEx>
        <w:trPr>
          <w:trHeight w:val="170" w:hRule="exact"/>
        </w:trPr>
        <w:tc>
          <w:tcPr>
            <w:tcW w:w="668" w:type="dxa"/>
            <w:shd w:val="clear" w:color="auto" w:fill="auto"/>
          </w:tcPr>
          <w:p>
            <w:pPr>
              <w:spacing w:before="78" w:beforeLines="25"/>
              <w:rPr>
                <w:rFonts w:ascii="宋体" w:hAnsi="宋体"/>
                <w:b/>
              </w:rPr>
            </w:pPr>
          </w:p>
        </w:tc>
        <w:tc>
          <w:tcPr>
            <w:tcW w:w="1555" w:type="dxa"/>
            <w:gridSpan w:val="2"/>
            <w:shd w:val="clear" w:color="auto" w:fill="auto"/>
          </w:tcPr>
          <w:p>
            <w:pPr>
              <w:spacing w:before="78" w:beforeLines="25"/>
              <w:jc w:val="left"/>
              <w:rPr>
                <w:rFonts w:ascii="宋体" w:hAnsi="宋体"/>
                <w:b/>
                <w:szCs w:val="21"/>
              </w:rPr>
            </w:pPr>
          </w:p>
        </w:tc>
        <w:tc>
          <w:tcPr>
            <w:tcW w:w="7591" w:type="dxa"/>
            <w:gridSpan w:val="8"/>
            <w:shd w:val="clear" w:color="auto" w:fill="auto"/>
          </w:tcPr>
          <w:p>
            <w:pPr>
              <w:spacing w:before="78" w:beforeLines="25"/>
              <w:rPr>
                <w:rFonts w:ascii="宋体" w:hAnsi="宋体"/>
              </w:rPr>
            </w:pPr>
          </w:p>
        </w:tc>
      </w:tr>
      <w:tr>
        <w:tblPrEx>
          <w:tblCellMar>
            <w:top w:w="0" w:type="dxa"/>
            <w:left w:w="108" w:type="dxa"/>
            <w:bottom w:w="0" w:type="dxa"/>
            <w:right w:w="108" w:type="dxa"/>
          </w:tblCellMar>
        </w:tblPrEx>
        <w:tc>
          <w:tcPr>
            <w:tcW w:w="668" w:type="dxa"/>
            <w:shd w:val="clear" w:color="auto" w:fill="auto"/>
          </w:tcPr>
          <w:p>
            <w:pPr>
              <w:spacing w:before="78" w:beforeLines="25"/>
              <w:rPr>
                <w:rFonts w:ascii="宋体" w:hAnsi="宋体"/>
                <w:b/>
              </w:rPr>
            </w:pPr>
            <w:r>
              <w:rPr>
                <w:rFonts w:hint="eastAsia" w:ascii="宋体" w:hAnsi="宋体"/>
                <w:b/>
              </w:rPr>
              <w:t>8.</w:t>
            </w:r>
            <w:r>
              <w:rPr>
                <w:rFonts w:ascii="宋体" w:hAnsi="宋体"/>
                <w:b/>
              </w:rPr>
              <w:t>3</w:t>
            </w:r>
          </w:p>
        </w:tc>
        <w:tc>
          <w:tcPr>
            <w:tcW w:w="1555" w:type="dxa"/>
            <w:gridSpan w:val="2"/>
            <w:shd w:val="clear" w:color="auto" w:fill="auto"/>
          </w:tcPr>
          <w:p>
            <w:pPr>
              <w:spacing w:before="78" w:beforeLines="25"/>
              <w:jc w:val="left"/>
              <w:rPr>
                <w:rFonts w:ascii="宋体" w:hAnsi="宋体"/>
                <w:b/>
                <w:szCs w:val="21"/>
              </w:rPr>
            </w:pPr>
            <w:r>
              <w:rPr>
                <w:rFonts w:hint="eastAsia" w:ascii="宋体" w:hAnsi="宋体"/>
                <w:b/>
                <w:szCs w:val="21"/>
              </w:rPr>
              <w:t>投保范围</w:t>
            </w:r>
          </w:p>
        </w:tc>
        <w:tc>
          <w:tcPr>
            <w:tcW w:w="7591" w:type="dxa"/>
            <w:gridSpan w:val="8"/>
            <w:shd w:val="clear" w:color="auto" w:fill="auto"/>
          </w:tcPr>
          <w:p>
            <w:pPr>
              <w:spacing w:before="78" w:beforeLines="25"/>
              <w:rPr>
                <w:rFonts w:ascii="宋体" w:hAnsi="宋体"/>
              </w:rPr>
            </w:pPr>
            <w:r>
              <w:rPr>
                <w:rFonts w:hint="eastAsia" w:ascii="宋体" w:hAnsi="宋体"/>
              </w:rPr>
              <w:t>本合同接受的被保险人的投保年龄范围须符合投保当时我们的规定。</w:t>
            </w:r>
          </w:p>
        </w:tc>
      </w:tr>
      <w:tr>
        <w:tblPrEx>
          <w:tblCellMar>
            <w:top w:w="0" w:type="dxa"/>
            <w:left w:w="108" w:type="dxa"/>
            <w:bottom w:w="0" w:type="dxa"/>
            <w:right w:w="108" w:type="dxa"/>
          </w:tblCellMar>
        </w:tblPrEx>
        <w:trPr>
          <w:trHeight w:val="170" w:hRule="exact"/>
        </w:trPr>
        <w:tc>
          <w:tcPr>
            <w:tcW w:w="668" w:type="dxa"/>
            <w:shd w:val="clear" w:color="auto" w:fill="auto"/>
          </w:tcPr>
          <w:p>
            <w:pPr>
              <w:spacing w:before="78" w:beforeLines="25"/>
              <w:rPr>
                <w:rFonts w:ascii="宋体" w:hAnsi="宋体"/>
                <w:b/>
              </w:rPr>
            </w:pPr>
          </w:p>
        </w:tc>
        <w:tc>
          <w:tcPr>
            <w:tcW w:w="1555" w:type="dxa"/>
            <w:gridSpan w:val="2"/>
            <w:shd w:val="clear" w:color="auto" w:fill="auto"/>
          </w:tcPr>
          <w:p>
            <w:pPr>
              <w:spacing w:before="78" w:beforeLines="25"/>
              <w:jc w:val="left"/>
              <w:rPr>
                <w:rFonts w:ascii="宋体" w:hAnsi="宋体"/>
                <w:b/>
                <w:szCs w:val="21"/>
              </w:rPr>
            </w:pPr>
          </w:p>
        </w:tc>
        <w:tc>
          <w:tcPr>
            <w:tcW w:w="7591" w:type="dxa"/>
            <w:gridSpan w:val="8"/>
            <w:shd w:val="clear" w:color="auto" w:fill="auto"/>
          </w:tcPr>
          <w:p>
            <w:pPr>
              <w:spacing w:before="78" w:beforeLines="25"/>
              <w:rPr>
                <w:rFonts w:ascii="宋体" w:hAnsi="宋体"/>
              </w:rPr>
            </w:pPr>
          </w:p>
        </w:tc>
      </w:tr>
      <w:tr>
        <w:tblPrEx>
          <w:tblCellMar>
            <w:top w:w="0" w:type="dxa"/>
            <w:left w:w="108" w:type="dxa"/>
            <w:bottom w:w="0" w:type="dxa"/>
            <w:right w:w="108" w:type="dxa"/>
          </w:tblCellMar>
        </w:tblPrEx>
        <w:tc>
          <w:tcPr>
            <w:tcW w:w="668" w:type="dxa"/>
            <w:shd w:val="clear" w:color="auto" w:fill="auto"/>
          </w:tcPr>
          <w:p>
            <w:pPr>
              <w:spacing w:before="78" w:beforeLines="25"/>
              <w:rPr>
                <w:rFonts w:ascii="宋体" w:hAnsi="宋体"/>
                <w:b/>
              </w:rPr>
            </w:pPr>
            <w:r>
              <w:rPr>
                <w:rFonts w:hint="eastAsia" w:ascii="宋体" w:hAnsi="宋体"/>
                <w:b/>
              </w:rPr>
              <w:t>8.</w:t>
            </w:r>
            <w:r>
              <w:rPr>
                <w:rFonts w:ascii="宋体" w:hAnsi="宋体"/>
                <w:b/>
              </w:rPr>
              <w:t>4</w:t>
            </w:r>
          </w:p>
        </w:tc>
        <w:tc>
          <w:tcPr>
            <w:tcW w:w="1555" w:type="dxa"/>
            <w:gridSpan w:val="2"/>
            <w:shd w:val="clear" w:color="auto" w:fill="auto"/>
          </w:tcPr>
          <w:p>
            <w:pPr>
              <w:spacing w:before="78" w:beforeLines="25"/>
              <w:jc w:val="left"/>
              <w:rPr>
                <w:rFonts w:ascii="宋体" w:hAnsi="宋体"/>
                <w:b/>
                <w:szCs w:val="21"/>
                <w:shd w:val="pct10" w:color="auto" w:fill="FFFFFF"/>
              </w:rPr>
            </w:pPr>
            <w:r>
              <w:rPr>
                <w:rFonts w:hint="eastAsia" w:ascii="宋体" w:hAnsi="宋体"/>
                <w:b/>
                <w:szCs w:val="21"/>
              </w:rPr>
              <w:t>年龄性别</w:t>
            </w:r>
            <w:r>
              <w:rPr>
                <w:rFonts w:ascii="宋体" w:hAnsi="宋体"/>
                <w:b/>
                <w:szCs w:val="21"/>
              </w:rPr>
              <w:t>错误</w:t>
            </w:r>
            <w:r>
              <w:rPr>
                <w:rFonts w:hint="eastAsia" w:ascii="宋体" w:hAnsi="宋体"/>
                <w:b/>
                <w:szCs w:val="21"/>
              </w:rPr>
              <w:t>的处理</w:t>
            </w:r>
          </w:p>
          <w:p>
            <w:pPr>
              <w:spacing w:before="78" w:beforeLines="25"/>
              <w:jc w:val="left"/>
              <w:rPr>
                <w:rFonts w:ascii="宋体" w:hAnsi="宋体"/>
                <w:b/>
                <w:szCs w:val="21"/>
              </w:rPr>
            </w:pPr>
          </w:p>
        </w:tc>
        <w:tc>
          <w:tcPr>
            <w:tcW w:w="7591" w:type="dxa"/>
            <w:gridSpan w:val="8"/>
            <w:shd w:val="clear" w:color="auto" w:fill="auto"/>
          </w:tcPr>
          <w:p>
            <w:pPr>
              <w:spacing w:before="78" w:beforeLines="25"/>
              <w:rPr>
                <w:rFonts w:ascii="宋体" w:hAnsi="宋体"/>
              </w:rPr>
            </w:pPr>
            <w:r>
              <w:rPr>
                <w:rFonts w:ascii="宋体" w:hAnsi="宋体"/>
              </w:rPr>
              <w:t>您在申请投保时，应将与有效身份证件相符的被保险人的出生日期</w:t>
            </w:r>
            <w:r>
              <w:rPr>
                <w:rFonts w:hint="eastAsia" w:ascii="宋体" w:hAnsi="宋体"/>
              </w:rPr>
              <w:t>和性别</w:t>
            </w:r>
            <w:r>
              <w:rPr>
                <w:rFonts w:ascii="宋体" w:hAnsi="宋体"/>
              </w:rPr>
              <w:t>在投保单上填明，如果发生错误按照下列方式办理：</w:t>
            </w:r>
          </w:p>
          <w:p>
            <w:pPr>
              <w:spacing w:before="78" w:beforeLines="25"/>
              <w:rPr>
                <w:rFonts w:ascii="宋体" w:hAnsi="宋体"/>
              </w:rPr>
            </w:pPr>
            <w:r>
              <w:rPr>
                <w:rFonts w:hint="eastAsia" w:ascii="黑体" w:hAnsi="宋体" w:eastAsia="黑体"/>
              </w:rPr>
              <w:t>您申报的被保险人年龄或性别不真实，并且其真实年龄或性别不符合本合同约定投保年龄或性别限制的，我们有权解除本合同，并向您退还本合同的现金价值。对于本合同解除前发生的保险事故，我们不承担保险责任。</w:t>
            </w:r>
          </w:p>
        </w:tc>
      </w:tr>
      <w:tr>
        <w:tblPrEx>
          <w:tblCellMar>
            <w:top w:w="0" w:type="dxa"/>
            <w:left w:w="108" w:type="dxa"/>
            <w:bottom w:w="0" w:type="dxa"/>
            <w:right w:w="108" w:type="dxa"/>
          </w:tblCellMar>
        </w:tblPrEx>
        <w:trPr>
          <w:trHeight w:val="170" w:hRule="exact"/>
        </w:trPr>
        <w:tc>
          <w:tcPr>
            <w:tcW w:w="668" w:type="dxa"/>
            <w:shd w:val="clear" w:color="auto" w:fill="auto"/>
          </w:tcPr>
          <w:p>
            <w:pPr>
              <w:spacing w:before="78" w:beforeLines="25"/>
              <w:rPr>
                <w:rFonts w:ascii="宋体" w:hAnsi="宋体"/>
                <w:b/>
              </w:rPr>
            </w:pPr>
          </w:p>
        </w:tc>
        <w:tc>
          <w:tcPr>
            <w:tcW w:w="1555" w:type="dxa"/>
            <w:gridSpan w:val="2"/>
            <w:shd w:val="clear" w:color="auto" w:fill="auto"/>
          </w:tcPr>
          <w:p>
            <w:pPr>
              <w:spacing w:before="78" w:beforeLines="25"/>
              <w:jc w:val="left"/>
              <w:rPr>
                <w:rFonts w:ascii="宋体" w:hAnsi="宋体"/>
                <w:b/>
                <w:szCs w:val="21"/>
              </w:rPr>
            </w:pPr>
          </w:p>
        </w:tc>
        <w:tc>
          <w:tcPr>
            <w:tcW w:w="7591" w:type="dxa"/>
            <w:gridSpan w:val="8"/>
            <w:shd w:val="clear" w:color="auto" w:fill="auto"/>
          </w:tcPr>
          <w:p>
            <w:pPr>
              <w:spacing w:before="78" w:beforeLines="25"/>
              <w:rPr>
                <w:rFonts w:ascii="宋体" w:hAnsi="宋体"/>
              </w:rPr>
            </w:pPr>
          </w:p>
        </w:tc>
      </w:tr>
      <w:tr>
        <w:tblPrEx>
          <w:tblCellMar>
            <w:top w:w="0" w:type="dxa"/>
            <w:left w:w="108" w:type="dxa"/>
            <w:bottom w:w="0" w:type="dxa"/>
            <w:right w:w="108" w:type="dxa"/>
          </w:tblCellMar>
        </w:tblPrEx>
        <w:tc>
          <w:tcPr>
            <w:tcW w:w="668" w:type="dxa"/>
            <w:shd w:val="clear" w:color="auto" w:fill="auto"/>
          </w:tcPr>
          <w:p>
            <w:pPr>
              <w:spacing w:before="78" w:beforeLines="25"/>
              <w:rPr>
                <w:rFonts w:ascii="宋体" w:hAnsi="宋体"/>
                <w:b/>
              </w:rPr>
            </w:pPr>
            <w:r>
              <w:rPr>
                <w:rFonts w:hint="eastAsia" w:ascii="宋体" w:hAnsi="宋体"/>
                <w:b/>
              </w:rPr>
              <w:t>8.</w:t>
            </w:r>
            <w:r>
              <w:rPr>
                <w:rFonts w:ascii="宋体" w:hAnsi="宋体"/>
                <w:b/>
              </w:rPr>
              <w:t>5</w:t>
            </w:r>
          </w:p>
        </w:tc>
        <w:tc>
          <w:tcPr>
            <w:tcW w:w="1555" w:type="dxa"/>
            <w:gridSpan w:val="2"/>
            <w:shd w:val="clear" w:color="auto" w:fill="auto"/>
          </w:tcPr>
          <w:p>
            <w:pPr>
              <w:spacing w:before="78" w:beforeLines="25"/>
              <w:jc w:val="left"/>
              <w:rPr>
                <w:rFonts w:ascii="宋体" w:hAnsi="宋体"/>
                <w:b/>
                <w:szCs w:val="21"/>
              </w:rPr>
            </w:pPr>
            <w:r>
              <w:rPr>
                <w:rFonts w:hint="eastAsia" w:ascii="宋体" w:hAnsi="宋体"/>
                <w:b/>
                <w:szCs w:val="21"/>
              </w:rPr>
              <w:t>未还款项</w:t>
            </w:r>
          </w:p>
        </w:tc>
        <w:tc>
          <w:tcPr>
            <w:tcW w:w="7591" w:type="dxa"/>
            <w:gridSpan w:val="8"/>
            <w:shd w:val="clear" w:color="auto" w:fill="auto"/>
          </w:tcPr>
          <w:p>
            <w:pPr>
              <w:spacing w:before="78" w:beforeLines="25"/>
              <w:rPr>
                <w:rFonts w:ascii="宋体" w:hAnsi="宋体"/>
              </w:rPr>
            </w:pPr>
            <w:r>
              <w:rPr>
                <w:rFonts w:hint="eastAsia" w:ascii="宋体" w:hAnsi="宋体"/>
              </w:rPr>
              <w:t>我们在给付各项保险金、退还现金价值、退还保单账户价值或者退还保险费时，如果您有欠交的保单贷款或者其他欠款，我们先扣除上述各项欠款及应付利息</w:t>
            </w:r>
            <w:r>
              <w:rPr>
                <w:rFonts w:ascii="宋体" w:hAnsi="宋体"/>
              </w:rPr>
              <w:t>。</w:t>
            </w:r>
          </w:p>
        </w:tc>
      </w:tr>
      <w:tr>
        <w:tblPrEx>
          <w:tblCellMar>
            <w:top w:w="0" w:type="dxa"/>
            <w:left w:w="108" w:type="dxa"/>
            <w:bottom w:w="0" w:type="dxa"/>
            <w:right w:w="108" w:type="dxa"/>
          </w:tblCellMar>
        </w:tblPrEx>
        <w:trPr>
          <w:trHeight w:val="170" w:hRule="exact"/>
        </w:trPr>
        <w:tc>
          <w:tcPr>
            <w:tcW w:w="668" w:type="dxa"/>
            <w:shd w:val="clear" w:color="auto" w:fill="auto"/>
          </w:tcPr>
          <w:p>
            <w:pPr>
              <w:spacing w:before="78" w:beforeLines="25"/>
              <w:rPr>
                <w:rFonts w:ascii="宋体" w:hAnsi="宋体"/>
                <w:b/>
              </w:rPr>
            </w:pPr>
          </w:p>
        </w:tc>
        <w:tc>
          <w:tcPr>
            <w:tcW w:w="1555" w:type="dxa"/>
            <w:gridSpan w:val="2"/>
            <w:shd w:val="clear" w:color="auto" w:fill="auto"/>
          </w:tcPr>
          <w:p>
            <w:pPr>
              <w:spacing w:before="78" w:beforeLines="25"/>
              <w:jc w:val="left"/>
              <w:rPr>
                <w:rFonts w:ascii="宋体" w:hAnsi="宋体"/>
                <w:b/>
                <w:szCs w:val="21"/>
              </w:rPr>
            </w:pPr>
          </w:p>
        </w:tc>
        <w:tc>
          <w:tcPr>
            <w:tcW w:w="7591" w:type="dxa"/>
            <w:gridSpan w:val="8"/>
            <w:shd w:val="clear" w:color="auto" w:fill="auto"/>
          </w:tcPr>
          <w:p>
            <w:pPr>
              <w:spacing w:before="78" w:beforeLines="25"/>
              <w:rPr>
                <w:rFonts w:ascii="宋体" w:hAnsi="宋体"/>
              </w:rPr>
            </w:pPr>
          </w:p>
        </w:tc>
      </w:tr>
      <w:tr>
        <w:tblPrEx>
          <w:tblCellMar>
            <w:top w:w="0" w:type="dxa"/>
            <w:left w:w="108" w:type="dxa"/>
            <w:bottom w:w="0" w:type="dxa"/>
            <w:right w:w="108" w:type="dxa"/>
          </w:tblCellMar>
        </w:tblPrEx>
        <w:tc>
          <w:tcPr>
            <w:tcW w:w="668" w:type="dxa"/>
            <w:shd w:val="clear" w:color="auto" w:fill="auto"/>
          </w:tcPr>
          <w:p>
            <w:pPr>
              <w:spacing w:before="78" w:beforeLines="25"/>
              <w:rPr>
                <w:rFonts w:ascii="宋体" w:hAnsi="宋体"/>
                <w:b/>
              </w:rPr>
            </w:pPr>
            <w:r>
              <w:rPr>
                <w:rFonts w:hint="eastAsia" w:ascii="宋体" w:hAnsi="宋体"/>
                <w:b/>
              </w:rPr>
              <w:t>8.</w:t>
            </w:r>
            <w:r>
              <w:rPr>
                <w:rFonts w:ascii="宋体" w:hAnsi="宋体"/>
                <w:b/>
              </w:rPr>
              <w:t>6</w:t>
            </w:r>
          </w:p>
        </w:tc>
        <w:tc>
          <w:tcPr>
            <w:tcW w:w="1555" w:type="dxa"/>
            <w:gridSpan w:val="2"/>
            <w:shd w:val="clear" w:color="auto" w:fill="auto"/>
          </w:tcPr>
          <w:p>
            <w:pPr>
              <w:spacing w:before="78" w:beforeLines="25"/>
              <w:jc w:val="left"/>
              <w:rPr>
                <w:rFonts w:ascii="宋体" w:hAnsi="宋体"/>
                <w:b/>
                <w:szCs w:val="21"/>
              </w:rPr>
            </w:pPr>
            <w:r>
              <w:rPr>
                <w:rFonts w:hint="eastAsia" w:ascii="宋体" w:hAnsi="宋体"/>
                <w:b/>
              </w:rPr>
              <w:t>合同内容变更</w:t>
            </w:r>
          </w:p>
        </w:tc>
        <w:tc>
          <w:tcPr>
            <w:tcW w:w="7591" w:type="dxa"/>
            <w:gridSpan w:val="8"/>
            <w:shd w:val="clear" w:color="auto" w:fill="auto"/>
          </w:tcPr>
          <w:p>
            <w:pPr>
              <w:spacing w:before="78" w:beforeLines="25"/>
              <w:rPr>
                <w:rFonts w:ascii="宋体" w:hAnsi="宋体"/>
              </w:rPr>
            </w:pPr>
            <w:r>
              <w:rPr>
                <w:rFonts w:hint="eastAsia" w:ascii="宋体" w:hAnsi="宋体"/>
              </w:rPr>
              <w:t>经您与我们协商一致，可以变更本合同的有关内容。变更本合同的，应当由我们在保险合同上批注或者附贴批单，或者由您与我们订立书面的变更协议</w:t>
            </w:r>
            <w:r>
              <w:rPr>
                <w:rFonts w:hint="eastAsia" w:ascii="黑体" w:hAnsi="黑体" w:eastAsia="黑体"/>
              </w:rPr>
              <w:t>。</w:t>
            </w:r>
          </w:p>
        </w:tc>
      </w:tr>
      <w:tr>
        <w:tblPrEx>
          <w:tblCellMar>
            <w:top w:w="0" w:type="dxa"/>
            <w:left w:w="108" w:type="dxa"/>
            <w:bottom w:w="0" w:type="dxa"/>
            <w:right w:w="108" w:type="dxa"/>
          </w:tblCellMar>
        </w:tblPrEx>
        <w:trPr>
          <w:trHeight w:val="170" w:hRule="exact"/>
        </w:trPr>
        <w:tc>
          <w:tcPr>
            <w:tcW w:w="668" w:type="dxa"/>
            <w:shd w:val="clear" w:color="auto" w:fill="auto"/>
          </w:tcPr>
          <w:p>
            <w:pPr>
              <w:spacing w:before="78" w:beforeLines="25"/>
              <w:rPr>
                <w:rFonts w:ascii="宋体" w:hAnsi="宋体"/>
                <w:b/>
              </w:rPr>
            </w:pPr>
          </w:p>
        </w:tc>
        <w:tc>
          <w:tcPr>
            <w:tcW w:w="1555" w:type="dxa"/>
            <w:gridSpan w:val="2"/>
            <w:shd w:val="clear" w:color="auto" w:fill="auto"/>
          </w:tcPr>
          <w:p>
            <w:pPr>
              <w:spacing w:before="78" w:beforeLines="25"/>
              <w:jc w:val="left"/>
              <w:rPr>
                <w:rFonts w:ascii="宋体" w:hAnsi="宋体"/>
                <w:b/>
              </w:rPr>
            </w:pPr>
          </w:p>
        </w:tc>
        <w:tc>
          <w:tcPr>
            <w:tcW w:w="7591" w:type="dxa"/>
            <w:gridSpan w:val="8"/>
            <w:shd w:val="clear" w:color="auto" w:fill="auto"/>
          </w:tcPr>
          <w:p>
            <w:pPr>
              <w:spacing w:before="78" w:beforeLines="25"/>
              <w:rPr>
                <w:rFonts w:ascii="宋体" w:hAnsi="宋体"/>
              </w:rPr>
            </w:pPr>
          </w:p>
        </w:tc>
      </w:tr>
      <w:tr>
        <w:tblPrEx>
          <w:tblCellMar>
            <w:top w:w="0" w:type="dxa"/>
            <w:left w:w="108" w:type="dxa"/>
            <w:bottom w:w="0" w:type="dxa"/>
            <w:right w:w="108" w:type="dxa"/>
          </w:tblCellMar>
        </w:tblPrEx>
        <w:tc>
          <w:tcPr>
            <w:tcW w:w="668" w:type="dxa"/>
            <w:shd w:val="clear" w:color="auto" w:fill="auto"/>
          </w:tcPr>
          <w:p>
            <w:pPr>
              <w:spacing w:before="78" w:beforeLines="25"/>
              <w:rPr>
                <w:rFonts w:ascii="宋体" w:hAnsi="宋体"/>
                <w:b/>
              </w:rPr>
            </w:pPr>
            <w:r>
              <w:rPr>
                <w:rFonts w:hint="eastAsia" w:ascii="宋体" w:hAnsi="宋体"/>
                <w:b/>
              </w:rPr>
              <w:t>8.</w:t>
            </w:r>
            <w:r>
              <w:rPr>
                <w:rFonts w:ascii="宋体" w:hAnsi="宋体"/>
                <w:b/>
              </w:rPr>
              <w:t>7</w:t>
            </w:r>
          </w:p>
        </w:tc>
        <w:tc>
          <w:tcPr>
            <w:tcW w:w="1555" w:type="dxa"/>
            <w:gridSpan w:val="2"/>
            <w:shd w:val="clear" w:color="auto" w:fill="auto"/>
          </w:tcPr>
          <w:p>
            <w:pPr>
              <w:spacing w:before="78" w:beforeLines="25"/>
              <w:rPr>
                <w:rFonts w:ascii="宋体" w:hAnsi="宋体"/>
                <w:b/>
                <w:szCs w:val="21"/>
              </w:rPr>
            </w:pPr>
            <w:r>
              <w:rPr>
                <w:rFonts w:hint="eastAsia" w:ascii="宋体" w:hAnsi="宋体"/>
                <w:b/>
                <w:szCs w:val="21"/>
              </w:rPr>
              <w:t>联系方式变更</w:t>
            </w:r>
          </w:p>
        </w:tc>
        <w:tc>
          <w:tcPr>
            <w:tcW w:w="7591" w:type="dxa"/>
            <w:gridSpan w:val="8"/>
            <w:shd w:val="clear" w:color="auto" w:fill="auto"/>
          </w:tcPr>
          <w:p>
            <w:pPr>
              <w:spacing w:before="78" w:beforeLines="25"/>
              <w:rPr>
                <w:rFonts w:ascii="宋体" w:hAnsi="宋体"/>
              </w:rPr>
            </w:pPr>
            <w:r>
              <w:rPr>
                <w:rFonts w:hint="eastAsia" w:asciiTheme="minorEastAsia" w:hAnsiTheme="minorEastAsia" w:eastAsiaTheme="minorEastAsia"/>
              </w:rPr>
              <w:t>为了保障您的合法权益，您的住所、通讯地址、电话或电子邮件等联系方式变更时，请及时以书面形式或双方认可的其他形式通知我们。若您未以书面形式或双方认可的其他形式通知我们，</w:t>
            </w:r>
            <w:r>
              <w:rPr>
                <w:rFonts w:hint="eastAsia" w:ascii="黑体" w:hAnsi="黑体" w:eastAsia="黑体"/>
              </w:rPr>
              <w:t>我们按本合同载明的最后联系方式所发送的有关通知，均视为已送达给您。</w:t>
            </w:r>
          </w:p>
        </w:tc>
      </w:tr>
      <w:tr>
        <w:tblPrEx>
          <w:tblCellMar>
            <w:top w:w="0" w:type="dxa"/>
            <w:left w:w="108" w:type="dxa"/>
            <w:bottom w:w="0" w:type="dxa"/>
            <w:right w:w="108" w:type="dxa"/>
          </w:tblCellMar>
        </w:tblPrEx>
        <w:trPr>
          <w:trHeight w:val="170" w:hRule="exact"/>
        </w:trPr>
        <w:tc>
          <w:tcPr>
            <w:tcW w:w="668" w:type="dxa"/>
            <w:shd w:val="clear" w:color="auto" w:fill="auto"/>
          </w:tcPr>
          <w:p>
            <w:pPr>
              <w:spacing w:before="78" w:beforeLines="25"/>
              <w:rPr>
                <w:rFonts w:ascii="宋体" w:hAnsi="宋体"/>
                <w:b/>
              </w:rPr>
            </w:pPr>
          </w:p>
        </w:tc>
        <w:tc>
          <w:tcPr>
            <w:tcW w:w="1555" w:type="dxa"/>
            <w:gridSpan w:val="2"/>
            <w:shd w:val="clear" w:color="auto" w:fill="auto"/>
          </w:tcPr>
          <w:p>
            <w:pPr>
              <w:spacing w:before="78" w:beforeLines="25"/>
              <w:jc w:val="left"/>
              <w:rPr>
                <w:rFonts w:ascii="宋体" w:hAnsi="宋体"/>
                <w:b/>
                <w:szCs w:val="21"/>
              </w:rPr>
            </w:pPr>
          </w:p>
        </w:tc>
        <w:tc>
          <w:tcPr>
            <w:tcW w:w="7591" w:type="dxa"/>
            <w:gridSpan w:val="8"/>
            <w:shd w:val="clear" w:color="auto" w:fill="auto"/>
          </w:tcPr>
          <w:p>
            <w:pPr>
              <w:spacing w:before="78" w:beforeLines="25"/>
              <w:rPr>
                <w:rFonts w:ascii="宋体" w:hAnsi="宋体"/>
              </w:rPr>
            </w:pPr>
          </w:p>
        </w:tc>
      </w:tr>
      <w:tr>
        <w:tblPrEx>
          <w:tblCellMar>
            <w:top w:w="0" w:type="dxa"/>
            <w:left w:w="108" w:type="dxa"/>
            <w:bottom w:w="0" w:type="dxa"/>
            <w:right w:w="108" w:type="dxa"/>
          </w:tblCellMar>
        </w:tblPrEx>
        <w:tc>
          <w:tcPr>
            <w:tcW w:w="668" w:type="dxa"/>
            <w:shd w:val="clear" w:color="auto" w:fill="auto"/>
          </w:tcPr>
          <w:p>
            <w:pPr>
              <w:spacing w:before="78" w:beforeLines="25"/>
              <w:rPr>
                <w:rFonts w:ascii="宋体" w:hAnsi="宋体"/>
                <w:b/>
              </w:rPr>
            </w:pPr>
            <w:r>
              <w:rPr>
                <w:rFonts w:hint="eastAsia" w:ascii="宋体" w:hAnsi="宋体"/>
                <w:b/>
              </w:rPr>
              <w:t>8.</w:t>
            </w:r>
            <w:r>
              <w:rPr>
                <w:rFonts w:ascii="宋体" w:hAnsi="宋体"/>
                <w:b/>
              </w:rPr>
              <w:t>8</w:t>
            </w:r>
          </w:p>
        </w:tc>
        <w:tc>
          <w:tcPr>
            <w:tcW w:w="1555" w:type="dxa"/>
            <w:gridSpan w:val="2"/>
            <w:shd w:val="clear" w:color="auto" w:fill="auto"/>
          </w:tcPr>
          <w:p>
            <w:pPr>
              <w:spacing w:before="78" w:beforeLines="25"/>
              <w:jc w:val="left"/>
              <w:rPr>
                <w:rFonts w:ascii="宋体" w:hAnsi="宋体"/>
                <w:b/>
                <w:szCs w:val="21"/>
              </w:rPr>
            </w:pPr>
            <w:r>
              <w:rPr>
                <w:rFonts w:hint="eastAsia" w:ascii="宋体" w:hAnsi="宋体"/>
                <w:b/>
                <w:szCs w:val="21"/>
              </w:rPr>
              <w:t>争议处理</w:t>
            </w:r>
          </w:p>
        </w:tc>
        <w:tc>
          <w:tcPr>
            <w:tcW w:w="7591" w:type="dxa"/>
            <w:gridSpan w:val="8"/>
            <w:shd w:val="clear" w:color="auto" w:fill="auto"/>
          </w:tcPr>
          <w:p>
            <w:pPr>
              <w:spacing w:before="78" w:beforeLines="25"/>
              <w:rPr>
                <w:rFonts w:ascii="宋体" w:hAnsi="宋体"/>
              </w:rPr>
            </w:pPr>
            <w:r>
              <w:rPr>
                <w:rFonts w:hint="eastAsia" w:ascii="宋体" w:hAnsi="宋体"/>
              </w:rPr>
              <w:t>本合同争议的解决方式，由当事人在保险合同中约定从下列两种方式中选择一种：</w:t>
            </w:r>
          </w:p>
          <w:p>
            <w:pPr>
              <w:numPr>
                <w:ilvl w:val="0"/>
                <w:numId w:val="7"/>
              </w:numPr>
              <w:spacing w:before="78" w:beforeLines="25"/>
              <w:ind w:left="737" w:hanging="737"/>
              <w:rPr>
                <w:rFonts w:ascii="宋体" w:hAnsi="宋体"/>
              </w:rPr>
            </w:pPr>
            <w:r>
              <w:rPr>
                <w:rFonts w:hint="eastAsia" w:ascii="宋体" w:hAnsi="宋体"/>
              </w:rPr>
              <w:t>因履行本合同发生的争议，由当事人协商解决，协商不成的，提交xxx仲裁委员会仲裁；</w:t>
            </w:r>
          </w:p>
          <w:p>
            <w:pPr>
              <w:numPr>
                <w:ilvl w:val="0"/>
                <w:numId w:val="7"/>
              </w:numPr>
              <w:spacing w:before="78" w:beforeLines="25"/>
              <w:ind w:left="737" w:hanging="737"/>
              <w:rPr>
                <w:rFonts w:ascii="宋体" w:hAnsi="宋体"/>
              </w:rPr>
            </w:pPr>
            <w:r>
              <w:rPr>
                <w:rFonts w:hint="eastAsia" w:ascii="宋体" w:hAnsi="宋体"/>
              </w:rPr>
              <w:t>因履行本合同发生的争议，由当事人协商解决，协商不成的，依法向人民法院提起诉讼。</w:t>
            </w:r>
          </w:p>
        </w:tc>
      </w:tr>
      <w:tr>
        <w:tblPrEx>
          <w:tblCellMar>
            <w:top w:w="0" w:type="dxa"/>
            <w:left w:w="108" w:type="dxa"/>
            <w:bottom w:w="0" w:type="dxa"/>
            <w:right w:w="108" w:type="dxa"/>
          </w:tblCellMar>
        </w:tblPrEx>
        <w:trPr>
          <w:trHeight w:val="170" w:hRule="exact"/>
        </w:trPr>
        <w:tc>
          <w:tcPr>
            <w:tcW w:w="668" w:type="dxa"/>
            <w:shd w:val="clear" w:color="auto" w:fill="auto"/>
          </w:tcPr>
          <w:p>
            <w:pPr>
              <w:spacing w:before="78" w:beforeLines="25"/>
              <w:rPr>
                <w:rFonts w:ascii="宋体" w:hAnsi="宋体"/>
                <w:b/>
              </w:rPr>
            </w:pPr>
          </w:p>
        </w:tc>
        <w:tc>
          <w:tcPr>
            <w:tcW w:w="1555" w:type="dxa"/>
            <w:gridSpan w:val="2"/>
            <w:shd w:val="clear" w:color="auto" w:fill="auto"/>
          </w:tcPr>
          <w:p>
            <w:pPr>
              <w:spacing w:before="78" w:beforeLines="25"/>
              <w:rPr>
                <w:rFonts w:ascii="宋体" w:hAnsi="宋体"/>
                <w:b/>
                <w:szCs w:val="21"/>
              </w:rPr>
            </w:pPr>
          </w:p>
        </w:tc>
        <w:tc>
          <w:tcPr>
            <w:tcW w:w="7591" w:type="dxa"/>
            <w:gridSpan w:val="8"/>
            <w:shd w:val="clear" w:color="auto" w:fill="auto"/>
          </w:tcPr>
          <w:p>
            <w:pPr>
              <w:spacing w:before="78" w:beforeLines="25"/>
              <w:rPr>
                <w:rFonts w:ascii="宋体" w:hAnsi="宋体"/>
              </w:rPr>
            </w:pPr>
          </w:p>
        </w:tc>
      </w:tr>
      <w:tr>
        <w:tblPrEx>
          <w:tblCellMar>
            <w:top w:w="0" w:type="dxa"/>
            <w:left w:w="108" w:type="dxa"/>
            <w:bottom w:w="0" w:type="dxa"/>
            <w:right w:w="108" w:type="dxa"/>
          </w:tblCellMar>
        </w:tblPrEx>
        <w:tc>
          <w:tcPr>
            <w:tcW w:w="668" w:type="dxa"/>
            <w:shd w:val="clear" w:color="auto" w:fill="auto"/>
          </w:tcPr>
          <w:p>
            <w:pPr>
              <w:spacing w:before="78" w:beforeLines="25"/>
              <w:rPr>
                <w:rFonts w:ascii="宋体" w:hAnsi="宋体"/>
                <w:b/>
              </w:rPr>
            </w:pPr>
          </w:p>
        </w:tc>
        <w:tc>
          <w:tcPr>
            <w:tcW w:w="1419" w:type="dxa"/>
            <w:shd w:val="clear" w:color="auto" w:fill="auto"/>
          </w:tcPr>
          <w:p>
            <w:pPr>
              <w:spacing w:before="78" w:beforeLines="25"/>
              <w:rPr>
                <w:rFonts w:ascii="宋体" w:hAnsi="宋体"/>
                <w:b/>
                <w:szCs w:val="21"/>
              </w:rPr>
            </w:pPr>
          </w:p>
        </w:tc>
        <w:tc>
          <w:tcPr>
            <w:tcW w:w="7727" w:type="dxa"/>
            <w:gridSpan w:val="9"/>
            <w:shd w:val="clear" w:color="auto" w:fill="auto"/>
          </w:tcPr>
          <w:p>
            <w:pPr>
              <w:spacing w:before="78" w:beforeLines="25"/>
              <w:rPr>
                <w:rFonts w:ascii="宋体" w:hAnsi="宋体"/>
              </w:rPr>
            </w:pPr>
            <w:r>
              <w:rPr>
                <w:rFonts w:hint="eastAsia" w:ascii="宋体" w:hAnsi="宋体"/>
              </w:rPr>
              <w:t>（条款全文完）</w:t>
            </w:r>
          </w:p>
        </w:tc>
      </w:tr>
    </w:tbl>
    <w:p>
      <w:pPr>
        <w:spacing w:line="400" w:lineRule="exact"/>
        <w:rPr>
          <w:rFonts w:ascii="宋体" w:hAnsi="宋体"/>
        </w:rPr>
      </w:pPr>
    </w:p>
    <w:p>
      <w:pPr>
        <w:spacing w:line="400" w:lineRule="exact"/>
        <w:rPr>
          <w:rFonts w:ascii="宋体" w:hAnsi="宋体"/>
        </w:rPr>
      </w:pPr>
    </w:p>
    <w:p>
      <w:pPr>
        <w:spacing w:line="400" w:lineRule="exact"/>
        <w:rPr>
          <w:rFonts w:ascii="宋体" w:hAnsi="宋体"/>
        </w:rPr>
      </w:pPr>
    </w:p>
    <w:sectPr>
      <w:footerReference r:id="rId4" w:type="default"/>
      <w:pgSz w:w="11906" w:h="16838"/>
      <w:pgMar w:top="1134" w:right="1134" w:bottom="1134" w:left="1134" w:header="851" w:footer="850"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Futura Bk">
    <w:altName w:val="Arial"/>
    <w:panose1 w:val="00000000000000000000"/>
    <w:charset w:val="00"/>
    <w:family w:val="swiss"/>
    <w:pitch w:val="default"/>
    <w:sig w:usb0="00000000" w:usb1="00000000" w:usb2="00000000" w:usb3="00000000" w:csb0="0000009F" w:csb1="00000000"/>
  </w:font>
  <w:font w:name="楷体_GB2312">
    <w:altName w:val="楷体"/>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swiss"/>
    <w:pitch w:val="default"/>
    <w:sig w:usb0="80000287" w:usb1="2ACF3C50" w:usb2="00000016" w:usb3="00000000" w:csb0="0004001F"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modern"/>
    <w:pitch w:val="default"/>
    <w:sig w:usb0="800002BF" w:usb1="38CF7CFA" w:usb2="00000016" w:usb3="00000000" w:csb0="00040001" w:csb1="00000000"/>
  </w:font>
  <w:font w:name="F3">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asciiTheme="minorEastAsia" w:hAnsiTheme="minorEastAsia" w:eastAsiaTheme="minorEastAsia"/>
      </w:rPr>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w:r>
    <w:r>
      <w:rPr>
        <w:rFonts w:asciiTheme="minorEastAsia" w:hAnsiTheme="minorEastAsia" w:eastAsiaTheme="minorEastAsia"/>
      </w:rPr>
      <w:ptab w:relativeTo="margin" w:alignment="center" w:leader="none"/>
    </w:r>
    <w:r>
      <w:rPr>
        <w:rFonts w:asciiTheme="minorEastAsia" w:hAnsiTheme="minorEastAsia" w:eastAsiaTheme="minorEastAsia"/>
      </w:rPr>
      <w:ptab w:relativeTo="margin" w:alignment="right" w:leader="none"/>
    </w:r>
    <w:r>
      <w:rPr>
        <w:rFonts w:hint="eastAsia" w:asciiTheme="minorEastAsia" w:hAnsiTheme="minorEastAsia" w:eastAsiaTheme="minorEastAsia"/>
      </w:rPr>
      <w:t>颐瑞</w:t>
    </w:r>
    <w:r>
      <w:rPr>
        <w:rFonts w:asciiTheme="minorEastAsia" w:hAnsiTheme="minorEastAsia" w:eastAsiaTheme="minorEastAsia"/>
      </w:rPr>
      <w:t>2</w:t>
    </w:r>
    <w:r>
      <w:rPr>
        <w:rFonts w:hint="eastAsia" w:asciiTheme="minorEastAsia" w:hAnsiTheme="minorEastAsia" w:eastAsiaTheme="minorEastAsia"/>
      </w:rPr>
      <w:t>号（尊赢版）条款</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30">
    <w:p>
      <w:r>
        <w:separator/>
      </w:r>
    </w:p>
  </w:footnote>
  <w:footnote w:type="continuationSeparator" w:id="31">
    <w:p>
      <w:r>
        <w:continuationSeparator/>
      </w:r>
    </w:p>
  </w:footnote>
  <w:footnote w:id="0">
    <w:p>
      <w:pPr>
        <w:pStyle w:val="7"/>
        <w:ind w:left="45" w:hanging="45" w:hangingChars="25"/>
        <w:jc w:val="both"/>
        <w:rPr>
          <w:rFonts w:ascii="楷体_GB2312"/>
        </w:rPr>
      </w:pPr>
      <w:r>
        <w:rPr>
          <w:rStyle w:val="14"/>
          <w:rFonts w:ascii="楷体_GB2312"/>
        </w:rPr>
        <w:footnoteRef/>
      </w:r>
      <w:r>
        <w:rPr>
          <w:rFonts w:hint="eastAsia" w:ascii="楷体_GB2312" w:hAnsi="宋体"/>
          <w:b/>
        </w:rPr>
        <w:t>周岁</w:t>
      </w:r>
      <w:r>
        <w:rPr>
          <w:rFonts w:hint="eastAsia" w:ascii="楷体_GB2312" w:hAnsi="宋体"/>
        </w:rPr>
        <w:t>指按有效身份证件中记载的出生日期计算的年龄，自出生之日起为0周岁，每经过一年增加一岁，不足一年的不计。</w:t>
      </w:r>
    </w:p>
  </w:footnote>
  <w:footnote w:id="1">
    <w:p>
      <w:pPr>
        <w:pStyle w:val="7"/>
        <w:ind w:left="45" w:hanging="45" w:hangingChars="25"/>
        <w:jc w:val="both"/>
        <w:rPr>
          <w:rFonts w:ascii="Segoe UI Symbol" w:hAnsi="Segoe UI Symbol" w:cs="Segoe UI Symbol"/>
        </w:rPr>
      </w:pPr>
      <w:r>
        <w:rPr>
          <w:rStyle w:val="14"/>
          <w:rFonts w:ascii="楷体_GB2312"/>
        </w:rPr>
        <w:footnoteRef/>
      </w:r>
      <w:r>
        <w:rPr>
          <w:rFonts w:hint="eastAsia" w:ascii="楷体_GB2312" w:hAnsi="宋体"/>
          <w:b/>
        </w:rPr>
        <w:t>年生效对应日</w:t>
      </w:r>
      <w:r>
        <w:rPr>
          <w:rFonts w:hint="eastAsia"/>
        </w:rPr>
        <w:t>指本合同生效日以后每年的对应日。如果当月无对应的同一日，则以该月最后一日为对应日。</w:t>
      </w:r>
    </w:p>
  </w:footnote>
  <w:footnote w:id="2">
    <w:p>
      <w:pPr>
        <w:pStyle w:val="7"/>
        <w:ind w:left="45" w:hanging="45" w:hangingChars="25"/>
        <w:jc w:val="both"/>
        <w:rPr>
          <w:rFonts w:ascii="Segoe UI Symbol" w:hAnsi="Segoe UI Symbol" w:cs="Segoe UI Symbol"/>
        </w:rPr>
      </w:pPr>
      <w:r>
        <w:rPr>
          <w:rStyle w:val="14"/>
          <w:rFonts w:ascii="楷体_GB2312"/>
        </w:rPr>
        <w:footnoteRef/>
      </w:r>
      <w:r>
        <w:rPr>
          <w:rFonts w:hint="eastAsia" w:ascii="楷体_GB2312" w:hAnsi="宋体"/>
          <w:b/>
        </w:rPr>
        <w:t>月生效对应日</w:t>
      </w:r>
      <w:r>
        <w:rPr>
          <w:rFonts w:hint="eastAsia"/>
        </w:rPr>
        <w:t>指本合同生效日以后每月的对应日，如果当月无对应的同一日，则以该月最后一日为对应日。</w:t>
      </w:r>
    </w:p>
  </w:footnote>
  <w:footnote w:id="3">
    <w:p>
      <w:pPr>
        <w:pStyle w:val="7"/>
        <w:ind w:left="45" w:hanging="45" w:hangingChars="25"/>
        <w:jc w:val="both"/>
        <w:rPr>
          <w:rFonts w:ascii="Segoe UI Symbol" w:hAnsi="Segoe UI Symbol" w:cs="Segoe UI Symbol"/>
        </w:rPr>
      </w:pPr>
      <w:r>
        <w:rPr>
          <w:rStyle w:val="14"/>
          <w:rFonts w:ascii="楷体_GB2312"/>
        </w:rPr>
        <w:footnoteRef/>
      </w:r>
      <w:r>
        <w:rPr>
          <w:rFonts w:hint="eastAsia" w:ascii="楷体_GB2312" w:hAnsi="宋体"/>
          <w:b/>
        </w:rPr>
        <w:t>保单年度</w:t>
      </w:r>
      <w:r>
        <w:rPr>
          <w:rFonts w:hint="eastAsia"/>
        </w:rPr>
        <w:t>：</w:t>
      </w:r>
      <w:r>
        <w:rPr>
          <w:rFonts w:hint="eastAsia" w:ascii="楷体_GB2312" w:hAnsi="宋体"/>
        </w:rPr>
        <w:t>从保险合同生效日或者年生效对应日零时起至下一年度保险合同年生效对应日的前一日24时止为一个保单年度。如果当月无对应的同一日，则以该月最后一日为对应日。</w:t>
      </w:r>
    </w:p>
  </w:footnote>
  <w:footnote w:id="4">
    <w:p>
      <w:pPr>
        <w:pStyle w:val="7"/>
        <w:ind w:left="56" w:hanging="55" w:hangingChars="31"/>
        <w:jc w:val="both"/>
        <w:rPr>
          <w:rFonts w:ascii="楷体_GB2312"/>
        </w:rPr>
      </w:pPr>
      <w:r>
        <w:rPr>
          <w:rStyle w:val="14"/>
          <w:rFonts w:ascii="楷体_GB2312"/>
        </w:rPr>
        <w:footnoteRef/>
      </w:r>
      <w:r>
        <w:rPr>
          <w:rFonts w:hint="eastAsia" w:ascii="楷体_GB2312" w:hAnsi="宋体"/>
          <w:b/>
        </w:rPr>
        <w:t>毒品</w:t>
      </w:r>
      <w:r>
        <w:rPr>
          <w:rFonts w:hint="eastAsia" w:ascii="楷体_GB2312" w:hAnsi="宋体"/>
        </w:rPr>
        <w:t>指《中华人民共和国刑法》规定的鸦片、海洛因、甲基苯丙胺（冰毒）、吗啡、大麻、可卡因以及国家规定管制的其他能够使人形成瘾癖的麻醉药品和精神药品，但不包括由医生开具并遵医嘱使用的用于治疗疾病但含有毒品成分的处方药品。</w:t>
      </w:r>
    </w:p>
  </w:footnote>
  <w:footnote w:id="5">
    <w:p>
      <w:pPr>
        <w:pStyle w:val="7"/>
        <w:ind w:left="56" w:hanging="55" w:hangingChars="31"/>
        <w:jc w:val="both"/>
        <w:rPr>
          <w:rFonts w:ascii="楷体_GB2312"/>
        </w:rPr>
      </w:pPr>
      <w:r>
        <w:rPr>
          <w:rStyle w:val="14"/>
          <w:rFonts w:ascii="楷体_GB2312"/>
        </w:rPr>
        <w:footnoteRef/>
      </w:r>
      <w:r>
        <w:rPr>
          <w:rFonts w:hint="eastAsia" w:ascii="楷体_GB2312" w:hAnsi="宋体"/>
          <w:b/>
        </w:rPr>
        <w:t>酒后驾驶</w:t>
      </w:r>
      <w:r>
        <w:rPr>
          <w:rFonts w:hint="eastAsia" w:ascii="楷体_GB2312" w:hAnsi="宋体"/>
        </w:rPr>
        <w:t>指经检测或鉴定，发生事故时车辆驾驶人员每百毫升血液中的酒精含量达到或超过一定的标准，公安机关交通管理部门依据《道路交通安全法》或道路交通相关法规的规定认定为饮酒后驾驶或醉酒后驾驶。</w:t>
      </w:r>
    </w:p>
  </w:footnote>
  <w:footnote w:id="6">
    <w:p>
      <w:pPr>
        <w:pStyle w:val="7"/>
        <w:ind w:left="56" w:hanging="55" w:hangingChars="31"/>
        <w:jc w:val="both"/>
        <w:rPr>
          <w:rFonts w:ascii="楷体_GB2312"/>
        </w:rPr>
      </w:pPr>
      <w:r>
        <w:rPr>
          <w:rStyle w:val="14"/>
          <w:rFonts w:ascii="楷体_GB2312"/>
        </w:rPr>
        <w:footnoteRef/>
      </w:r>
      <w:r>
        <w:rPr>
          <w:rFonts w:hint="eastAsia" w:ascii="楷体_GB2312" w:hAnsi="宋体"/>
          <w:b/>
        </w:rPr>
        <w:t>无合法有效驾驶证驾驶</w:t>
      </w:r>
      <w:r>
        <w:rPr>
          <w:rFonts w:hint="eastAsia" w:ascii="楷体_GB2312"/>
        </w:rPr>
        <w:t>指下列情形之一：</w:t>
      </w:r>
    </w:p>
    <w:p>
      <w:pPr>
        <w:pStyle w:val="7"/>
        <w:ind w:left="194" w:hanging="194" w:hangingChars="108"/>
        <w:jc w:val="both"/>
        <w:rPr>
          <w:rFonts w:ascii="楷体_GB2312"/>
        </w:rPr>
      </w:pPr>
      <w:r>
        <w:rPr>
          <w:rFonts w:hint="eastAsia" w:ascii="楷体_GB2312"/>
        </w:rPr>
        <w:t>（1）没有取得中华人民共和国有关主管部门颁发或者认可的驾驶资格证书；</w:t>
      </w:r>
    </w:p>
    <w:p>
      <w:pPr>
        <w:pStyle w:val="7"/>
        <w:ind w:left="194" w:hanging="194" w:hangingChars="108"/>
        <w:jc w:val="both"/>
        <w:rPr>
          <w:rFonts w:ascii="楷体_GB2312"/>
        </w:rPr>
      </w:pPr>
      <w:r>
        <w:rPr>
          <w:rFonts w:hint="eastAsia" w:ascii="楷体_GB2312"/>
        </w:rPr>
        <w:t>（2）驾驶与驾驶证准驾车型不相符合的车辆；</w:t>
      </w:r>
    </w:p>
    <w:p>
      <w:pPr>
        <w:pStyle w:val="7"/>
        <w:ind w:left="194" w:hanging="194" w:hangingChars="108"/>
        <w:jc w:val="both"/>
        <w:rPr>
          <w:rFonts w:ascii="楷体_GB2312"/>
        </w:rPr>
      </w:pPr>
      <w:r>
        <w:rPr>
          <w:rFonts w:hint="eastAsia" w:ascii="楷体_GB2312"/>
        </w:rPr>
        <w:t>（3）持审验不合格的驾驶证驾驶；</w:t>
      </w:r>
    </w:p>
    <w:p>
      <w:pPr>
        <w:pStyle w:val="7"/>
        <w:ind w:left="194" w:hanging="194" w:hangingChars="108"/>
        <w:jc w:val="both"/>
        <w:rPr>
          <w:rFonts w:ascii="楷体_GB2312"/>
        </w:rPr>
      </w:pPr>
      <w:r>
        <w:rPr>
          <w:rFonts w:hint="eastAsia" w:ascii="楷体_GB2312"/>
        </w:rPr>
        <w:t>（4）持学习驾驶证学习驾车时，无教练员随车指导，或不按指定时间、路线学习驾车</w:t>
      </w:r>
      <w:r>
        <w:rPr>
          <w:rFonts w:hint="eastAsia" w:ascii="楷体_GB2312" w:hAnsi="宋体"/>
        </w:rPr>
        <w:t>。</w:t>
      </w:r>
    </w:p>
  </w:footnote>
  <w:footnote w:id="7">
    <w:p>
      <w:pPr>
        <w:pStyle w:val="7"/>
        <w:ind w:left="56" w:hanging="55" w:hangingChars="31"/>
        <w:jc w:val="both"/>
        <w:rPr>
          <w:rFonts w:ascii="楷体_GB2312"/>
        </w:rPr>
      </w:pPr>
      <w:r>
        <w:rPr>
          <w:rStyle w:val="14"/>
          <w:rFonts w:ascii="楷体_GB2312"/>
        </w:rPr>
        <w:footnoteRef/>
      </w:r>
      <w:r>
        <w:rPr>
          <w:rFonts w:hint="eastAsia" w:ascii="楷体_GB2312" w:hAnsi="宋体"/>
          <w:b/>
        </w:rPr>
        <w:t>无合法有效行驶证</w:t>
      </w:r>
      <w:r>
        <w:rPr>
          <w:rFonts w:hint="eastAsia" w:ascii="楷体_GB2312"/>
        </w:rPr>
        <w:t>指下列情形之一：</w:t>
      </w:r>
    </w:p>
    <w:p>
      <w:pPr>
        <w:pStyle w:val="7"/>
        <w:ind w:left="160" w:hanging="160" w:hangingChars="89"/>
        <w:jc w:val="both"/>
        <w:rPr>
          <w:rFonts w:ascii="楷体_GB2312"/>
        </w:rPr>
      </w:pPr>
      <w:r>
        <w:rPr>
          <w:rFonts w:hint="eastAsia" w:ascii="楷体_GB2312"/>
        </w:rPr>
        <w:t>（1）机动车被依法注销登记的；</w:t>
      </w:r>
    </w:p>
    <w:p>
      <w:pPr>
        <w:pStyle w:val="7"/>
        <w:ind w:left="160" w:hanging="160" w:hangingChars="89"/>
        <w:jc w:val="both"/>
        <w:rPr>
          <w:rFonts w:ascii="楷体_GB2312"/>
        </w:rPr>
      </w:pPr>
      <w:r>
        <w:rPr>
          <w:rFonts w:hint="eastAsia" w:ascii="楷体_GB2312"/>
        </w:rPr>
        <w:t>（2）未依法按时进行或通过机动车安全技术检验</w:t>
      </w:r>
      <w:r>
        <w:rPr>
          <w:rFonts w:hint="eastAsia" w:ascii="楷体_GB2312" w:hAnsi="宋体"/>
        </w:rPr>
        <w:t>。</w:t>
      </w:r>
    </w:p>
  </w:footnote>
  <w:footnote w:id="8">
    <w:p>
      <w:pPr>
        <w:pStyle w:val="7"/>
        <w:ind w:left="95" w:hanging="95" w:hangingChars="53"/>
        <w:jc w:val="both"/>
        <w:rPr>
          <w:rFonts w:ascii="楷体_GB2312"/>
        </w:rPr>
      </w:pPr>
      <w:r>
        <w:rPr>
          <w:rStyle w:val="14"/>
          <w:rFonts w:ascii="楷体_GB2312"/>
        </w:rPr>
        <w:footnoteRef/>
      </w:r>
      <w:r>
        <w:rPr>
          <w:rFonts w:hint="eastAsia" w:ascii="楷体_GB2312" w:hAnsi="宋体"/>
          <w:b/>
        </w:rPr>
        <w:t>机动车</w:t>
      </w:r>
      <w:r>
        <w:rPr>
          <w:rFonts w:hint="eastAsia" w:ascii="楷体_GB2312" w:hAnsi="宋体"/>
        </w:rPr>
        <w:t>指以动力装置驱动或者牵引，上道路行驶的供人员乘用或者用于运送物品以及进行工程专项作业的轮式车辆或履带车辆。</w:t>
      </w:r>
    </w:p>
  </w:footnote>
  <w:footnote w:id="9">
    <w:p>
      <w:pPr>
        <w:pStyle w:val="7"/>
        <w:adjustRightInd w:val="0"/>
        <w:ind w:left="95" w:hanging="95" w:hangingChars="53"/>
        <w:rPr>
          <w:rFonts w:ascii="楷体_GB2312"/>
        </w:rPr>
      </w:pPr>
      <w:r>
        <w:rPr>
          <w:rStyle w:val="14"/>
          <w:rFonts w:hint="eastAsia" w:ascii="楷体_GB2312"/>
        </w:rPr>
        <w:footnoteRef/>
      </w:r>
      <w:r>
        <w:rPr>
          <w:rFonts w:hint="eastAsia"/>
          <w:b/>
        </w:rPr>
        <w:t>战争</w:t>
      </w:r>
      <w:r>
        <w:rPr>
          <w:rFonts w:hint="eastAsia"/>
        </w:rPr>
        <w:t>指国家与国家、民族与民族、政治集团与政治集团之间为了一定的政治、经济目的而进行的武装斗争，以政府宣布为准。</w:t>
      </w:r>
    </w:p>
  </w:footnote>
  <w:footnote w:id="10">
    <w:p>
      <w:pPr>
        <w:pStyle w:val="7"/>
        <w:rPr>
          <w:rFonts w:ascii="楷体_GB2312"/>
        </w:rPr>
      </w:pPr>
      <w:r>
        <w:rPr>
          <w:rStyle w:val="14"/>
          <w:rFonts w:hint="eastAsia" w:ascii="楷体_GB2312"/>
        </w:rPr>
        <w:footnoteRef/>
      </w:r>
      <w:r>
        <w:rPr>
          <w:rFonts w:hint="eastAsia"/>
          <w:b/>
        </w:rPr>
        <w:t>军事冲突</w:t>
      </w:r>
      <w:r>
        <w:rPr>
          <w:rFonts w:hint="eastAsia"/>
        </w:rPr>
        <w:t>指国家或民族之间在一定范围内的武装对抗，以政府宣布为准。</w:t>
      </w:r>
    </w:p>
  </w:footnote>
  <w:footnote w:id="11">
    <w:p>
      <w:pPr>
        <w:pStyle w:val="7"/>
      </w:pPr>
      <w:r>
        <w:rPr>
          <w:rStyle w:val="14"/>
          <w:rFonts w:hint="eastAsia" w:ascii="楷体_GB2312"/>
        </w:rPr>
        <w:footnoteRef/>
      </w:r>
      <w:r>
        <w:rPr>
          <w:rFonts w:hint="eastAsia"/>
          <w:b/>
        </w:rPr>
        <w:t>暴乱</w:t>
      </w:r>
      <w:r>
        <w:rPr>
          <w:rFonts w:hint="eastAsia"/>
        </w:rPr>
        <w:t>指破坏社会秩序的武装骚动，以政府宣布为准。</w:t>
      </w:r>
    </w:p>
  </w:footnote>
  <w:footnote w:id="12">
    <w:p>
      <w:pPr>
        <w:pStyle w:val="7"/>
        <w:ind w:left="90" w:hanging="90" w:hangingChars="50"/>
        <w:jc w:val="both"/>
        <w:rPr>
          <w:rFonts w:ascii="楷体_GB2312"/>
        </w:rPr>
      </w:pPr>
      <w:r>
        <w:rPr>
          <w:rStyle w:val="14"/>
          <w:rFonts w:ascii="楷体_GB2312"/>
        </w:rPr>
        <w:footnoteRef/>
      </w:r>
      <w:r>
        <w:rPr>
          <w:rFonts w:hint="eastAsia" w:ascii="楷体_GB2312" w:hAnsi="宋体"/>
          <w:b/>
        </w:rPr>
        <w:t>现金价值</w:t>
      </w:r>
      <w:r>
        <w:rPr>
          <w:rFonts w:hint="eastAsia" w:ascii="楷体_GB2312" w:hAnsi="宋体"/>
        </w:rPr>
        <w:t>指保险单所具有的价值，通常体现为解除合同时，根据精算原理计算的、由我们退还的那部分金额。</w:t>
      </w:r>
    </w:p>
  </w:footnote>
  <w:footnote w:id="13">
    <w:p>
      <w:pPr>
        <w:pStyle w:val="7"/>
        <w:adjustRightInd w:val="0"/>
        <w:ind w:left="95" w:hanging="95" w:hangingChars="53"/>
        <w:jc w:val="both"/>
        <w:rPr>
          <w:rFonts w:ascii="楷体_GB2312"/>
        </w:rPr>
      </w:pPr>
      <w:r>
        <w:rPr>
          <w:rStyle w:val="14"/>
          <w:rFonts w:ascii="楷体_GB2312"/>
        </w:rPr>
        <w:footnoteRef/>
      </w:r>
      <w:r>
        <w:rPr>
          <w:rFonts w:hint="eastAsia" w:ascii="楷体_GB2312" w:hAnsi="宋体"/>
          <w:b/>
        </w:rPr>
        <w:t>有效身份证件</w:t>
      </w:r>
      <w:r>
        <w:rPr>
          <w:rFonts w:hint="eastAsia" w:ascii="楷体_GB2312" w:hAnsiTheme="minorEastAsia"/>
        </w:rPr>
        <w:t>指由中华人民共和国政府主管部门规定的能够证明其身份的证件，如：有效期内的居民身份证、港澳台居民居住证、户口簿以及中华人民共和国政府主管部门颁发或者认可的有效护照或者其他身份证明文件。</w:t>
      </w:r>
    </w:p>
  </w:footnote>
  <w:footnote w:id="14">
    <w:p>
      <w:pPr>
        <w:pStyle w:val="7"/>
      </w:pPr>
      <w:r>
        <w:rPr>
          <w:rStyle w:val="14"/>
          <w:rFonts w:hint="eastAsia" w:ascii="楷体_GB2312"/>
        </w:rPr>
        <w:footnoteRef/>
      </w:r>
      <w:r>
        <w:rPr>
          <w:rFonts w:hint="eastAsia"/>
          <w:b/>
        </w:rPr>
        <w:t>签收本合同之日</w:t>
      </w:r>
      <w:r>
        <w:rPr>
          <w:rFonts w:hint="eastAsia"/>
        </w:rPr>
        <w:t>的起算时间具体为签收本合同之日的</w:t>
      </w:r>
      <w:r>
        <w:rPr>
          <w:rFonts w:hint="eastAsia" w:ascii="楷体_GB2312"/>
        </w:rPr>
        <w:t>24</w:t>
      </w:r>
      <w:r>
        <w:rPr>
          <w:rFonts w:hint="eastAsia"/>
        </w:rPr>
        <w:t>时。</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174483"/>
    <w:multiLevelType w:val="multilevel"/>
    <w:tmpl w:val="241744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6AC5285"/>
    <w:multiLevelType w:val="multilevel"/>
    <w:tmpl w:val="26AC5285"/>
    <w:lvl w:ilvl="0" w:tentative="0">
      <w:start w:val="1"/>
      <w:numFmt w:val="decimal"/>
      <w:lvlText w:val="（%1）"/>
      <w:lvlJc w:val="left"/>
      <w:pPr>
        <w:tabs>
          <w:tab w:val="left" w:pos="720"/>
        </w:tabs>
        <w:ind w:left="720" w:hanging="720"/>
      </w:pPr>
      <w:rPr>
        <w:rFonts w:hint="default"/>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BD065F4"/>
    <w:multiLevelType w:val="multilevel"/>
    <w:tmpl w:val="3BD065F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1D672C0"/>
    <w:multiLevelType w:val="multilevel"/>
    <w:tmpl w:val="41D672C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5F25B7A"/>
    <w:multiLevelType w:val="multilevel"/>
    <w:tmpl w:val="55F25B7A"/>
    <w:lvl w:ilvl="0" w:tentative="0">
      <w:start w:val="1"/>
      <w:numFmt w:val="decimal"/>
      <w:lvlText w:val="（%1）"/>
      <w:lvlJc w:val="left"/>
      <w:pPr>
        <w:ind w:left="420" w:hanging="420"/>
      </w:pPr>
      <w:rPr>
        <w:rFonts w:hint="eastAsia" w:ascii="宋体" w:hAnsi="宋体" w:eastAsia="宋体"/>
        <w:shd w:val="clear" w:color="auto" w:fil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E55222E"/>
    <w:multiLevelType w:val="multilevel"/>
    <w:tmpl w:val="5E55222E"/>
    <w:lvl w:ilvl="0" w:tentative="0">
      <w:start w:val="1"/>
      <w:numFmt w:val="decimal"/>
      <w:lvlText w:val="（%1）"/>
      <w:lvlJc w:val="left"/>
      <w:pPr>
        <w:tabs>
          <w:tab w:val="left" w:pos="720"/>
        </w:tabs>
        <w:ind w:left="720" w:hanging="720"/>
      </w:pPr>
      <w:rPr>
        <w:rFonts w:hint="default"/>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74054758"/>
    <w:multiLevelType w:val="multilevel"/>
    <w:tmpl w:val="74054758"/>
    <w:lvl w:ilvl="0" w:tentative="0">
      <w:start w:val="1"/>
      <w:numFmt w:val="decimal"/>
      <w:lvlText w:val="（%1）"/>
      <w:lvlJc w:val="left"/>
      <w:pPr>
        <w:ind w:left="420" w:hanging="420"/>
      </w:pPr>
      <w:rPr>
        <w:rFonts w:hint="default" w:asciiTheme="majorEastAsia" w:hAnsiTheme="majorEastAsia" w:eastAsiaTheme="major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6"/>
  </w:num>
  <w:num w:numId="3">
    <w:abstractNumId w:val="3"/>
  </w:num>
  <w:num w:numId="4">
    <w:abstractNumId w:val="5"/>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30"/>
    <w:footnote w:id="31"/>
  </w:foot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573FB8"/>
    <w:rsid w:val="0000081E"/>
    <w:rsid w:val="00001950"/>
    <w:rsid w:val="00002F8E"/>
    <w:rsid w:val="000038CB"/>
    <w:rsid w:val="00003B4E"/>
    <w:rsid w:val="00005130"/>
    <w:rsid w:val="00006EA7"/>
    <w:rsid w:val="0000764A"/>
    <w:rsid w:val="00007D92"/>
    <w:rsid w:val="00011247"/>
    <w:rsid w:val="00011A87"/>
    <w:rsid w:val="00011DF6"/>
    <w:rsid w:val="00012052"/>
    <w:rsid w:val="000128D5"/>
    <w:rsid w:val="00012DEB"/>
    <w:rsid w:val="00012E70"/>
    <w:rsid w:val="00015304"/>
    <w:rsid w:val="00015D7C"/>
    <w:rsid w:val="000173C5"/>
    <w:rsid w:val="000178F4"/>
    <w:rsid w:val="0002036D"/>
    <w:rsid w:val="000203F9"/>
    <w:rsid w:val="00021359"/>
    <w:rsid w:val="000219E7"/>
    <w:rsid w:val="00021DC7"/>
    <w:rsid w:val="00023046"/>
    <w:rsid w:val="000231F8"/>
    <w:rsid w:val="00024594"/>
    <w:rsid w:val="00024AC1"/>
    <w:rsid w:val="00024C37"/>
    <w:rsid w:val="0002502D"/>
    <w:rsid w:val="00025646"/>
    <w:rsid w:val="000262A9"/>
    <w:rsid w:val="00030C52"/>
    <w:rsid w:val="000312E0"/>
    <w:rsid w:val="00034150"/>
    <w:rsid w:val="000343D8"/>
    <w:rsid w:val="00034C05"/>
    <w:rsid w:val="00034E3F"/>
    <w:rsid w:val="0003562B"/>
    <w:rsid w:val="00035999"/>
    <w:rsid w:val="00035D21"/>
    <w:rsid w:val="0003612C"/>
    <w:rsid w:val="000401EA"/>
    <w:rsid w:val="00040205"/>
    <w:rsid w:val="00040D22"/>
    <w:rsid w:val="00040DAC"/>
    <w:rsid w:val="000422AC"/>
    <w:rsid w:val="00042E0A"/>
    <w:rsid w:val="00043888"/>
    <w:rsid w:val="00043BF0"/>
    <w:rsid w:val="0004402F"/>
    <w:rsid w:val="0004447E"/>
    <w:rsid w:val="00044998"/>
    <w:rsid w:val="000456F6"/>
    <w:rsid w:val="000465CF"/>
    <w:rsid w:val="0004777E"/>
    <w:rsid w:val="00050FF5"/>
    <w:rsid w:val="00051856"/>
    <w:rsid w:val="00052044"/>
    <w:rsid w:val="00052687"/>
    <w:rsid w:val="00052774"/>
    <w:rsid w:val="00052D81"/>
    <w:rsid w:val="00053FAB"/>
    <w:rsid w:val="00054FE3"/>
    <w:rsid w:val="000550A0"/>
    <w:rsid w:val="00055324"/>
    <w:rsid w:val="00055F06"/>
    <w:rsid w:val="000564D0"/>
    <w:rsid w:val="00056909"/>
    <w:rsid w:val="0005697A"/>
    <w:rsid w:val="00057AD2"/>
    <w:rsid w:val="00061A66"/>
    <w:rsid w:val="000622E6"/>
    <w:rsid w:val="00062E63"/>
    <w:rsid w:val="000649EF"/>
    <w:rsid w:val="00064DA3"/>
    <w:rsid w:val="00065013"/>
    <w:rsid w:val="0006527E"/>
    <w:rsid w:val="00066BCC"/>
    <w:rsid w:val="00066D14"/>
    <w:rsid w:val="00067D97"/>
    <w:rsid w:val="00070737"/>
    <w:rsid w:val="00071665"/>
    <w:rsid w:val="00071744"/>
    <w:rsid w:val="000719B9"/>
    <w:rsid w:val="00071BD5"/>
    <w:rsid w:val="00071C53"/>
    <w:rsid w:val="00072464"/>
    <w:rsid w:val="0007272F"/>
    <w:rsid w:val="00072AA2"/>
    <w:rsid w:val="00073041"/>
    <w:rsid w:val="00073503"/>
    <w:rsid w:val="00075AF2"/>
    <w:rsid w:val="000768DD"/>
    <w:rsid w:val="00076A5C"/>
    <w:rsid w:val="00076E9B"/>
    <w:rsid w:val="000771E7"/>
    <w:rsid w:val="00077246"/>
    <w:rsid w:val="00077666"/>
    <w:rsid w:val="0008314E"/>
    <w:rsid w:val="00083D16"/>
    <w:rsid w:val="00084200"/>
    <w:rsid w:val="00085B85"/>
    <w:rsid w:val="00085C79"/>
    <w:rsid w:val="00087831"/>
    <w:rsid w:val="00090EE6"/>
    <w:rsid w:val="000910FB"/>
    <w:rsid w:val="00092534"/>
    <w:rsid w:val="0009255B"/>
    <w:rsid w:val="00092C55"/>
    <w:rsid w:val="00092CD0"/>
    <w:rsid w:val="000932EA"/>
    <w:rsid w:val="0009479C"/>
    <w:rsid w:val="00094B62"/>
    <w:rsid w:val="00094E33"/>
    <w:rsid w:val="00095638"/>
    <w:rsid w:val="00095BEB"/>
    <w:rsid w:val="00096700"/>
    <w:rsid w:val="0009734C"/>
    <w:rsid w:val="000A0DCE"/>
    <w:rsid w:val="000A18C1"/>
    <w:rsid w:val="000A2358"/>
    <w:rsid w:val="000A2422"/>
    <w:rsid w:val="000A2F3A"/>
    <w:rsid w:val="000A3A50"/>
    <w:rsid w:val="000A4B6F"/>
    <w:rsid w:val="000A55E8"/>
    <w:rsid w:val="000A630C"/>
    <w:rsid w:val="000A6420"/>
    <w:rsid w:val="000A680A"/>
    <w:rsid w:val="000A6A4A"/>
    <w:rsid w:val="000A7B91"/>
    <w:rsid w:val="000A7D9A"/>
    <w:rsid w:val="000B01C1"/>
    <w:rsid w:val="000B04BC"/>
    <w:rsid w:val="000B07BC"/>
    <w:rsid w:val="000B0BF7"/>
    <w:rsid w:val="000B1069"/>
    <w:rsid w:val="000B189F"/>
    <w:rsid w:val="000B1B29"/>
    <w:rsid w:val="000B1EE0"/>
    <w:rsid w:val="000B2228"/>
    <w:rsid w:val="000B2AB0"/>
    <w:rsid w:val="000B2DB8"/>
    <w:rsid w:val="000B319B"/>
    <w:rsid w:val="000B3BD8"/>
    <w:rsid w:val="000B46DB"/>
    <w:rsid w:val="000B4D93"/>
    <w:rsid w:val="000B6086"/>
    <w:rsid w:val="000B61F9"/>
    <w:rsid w:val="000B6872"/>
    <w:rsid w:val="000C040E"/>
    <w:rsid w:val="000C1653"/>
    <w:rsid w:val="000C1773"/>
    <w:rsid w:val="000C1E08"/>
    <w:rsid w:val="000C22DF"/>
    <w:rsid w:val="000C230A"/>
    <w:rsid w:val="000C2AFC"/>
    <w:rsid w:val="000C3216"/>
    <w:rsid w:val="000C34A6"/>
    <w:rsid w:val="000C3948"/>
    <w:rsid w:val="000C3E69"/>
    <w:rsid w:val="000C4635"/>
    <w:rsid w:val="000C4654"/>
    <w:rsid w:val="000C5169"/>
    <w:rsid w:val="000C5C28"/>
    <w:rsid w:val="000C5E63"/>
    <w:rsid w:val="000C6CC5"/>
    <w:rsid w:val="000C7066"/>
    <w:rsid w:val="000C77F6"/>
    <w:rsid w:val="000C7F46"/>
    <w:rsid w:val="000D06BB"/>
    <w:rsid w:val="000D0CE8"/>
    <w:rsid w:val="000D1892"/>
    <w:rsid w:val="000D22BB"/>
    <w:rsid w:val="000D26FB"/>
    <w:rsid w:val="000D2EB1"/>
    <w:rsid w:val="000D3157"/>
    <w:rsid w:val="000D404B"/>
    <w:rsid w:val="000D43C7"/>
    <w:rsid w:val="000D4509"/>
    <w:rsid w:val="000D4DC8"/>
    <w:rsid w:val="000D6E3F"/>
    <w:rsid w:val="000D71C5"/>
    <w:rsid w:val="000E09A7"/>
    <w:rsid w:val="000E15EF"/>
    <w:rsid w:val="000E2F8D"/>
    <w:rsid w:val="000E482E"/>
    <w:rsid w:val="000E5FD3"/>
    <w:rsid w:val="000F0BAE"/>
    <w:rsid w:val="000F0BB3"/>
    <w:rsid w:val="000F0F8E"/>
    <w:rsid w:val="000F1182"/>
    <w:rsid w:val="000F154D"/>
    <w:rsid w:val="000F1B31"/>
    <w:rsid w:val="000F1ED9"/>
    <w:rsid w:val="000F28C8"/>
    <w:rsid w:val="000F2D68"/>
    <w:rsid w:val="000F505A"/>
    <w:rsid w:val="000F5617"/>
    <w:rsid w:val="000F56AF"/>
    <w:rsid w:val="000F5BEF"/>
    <w:rsid w:val="000F65F3"/>
    <w:rsid w:val="000F6CDE"/>
    <w:rsid w:val="001000E9"/>
    <w:rsid w:val="00100E83"/>
    <w:rsid w:val="001010F6"/>
    <w:rsid w:val="001019BA"/>
    <w:rsid w:val="0010276C"/>
    <w:rsid w:val="00103439"/>
    <w:rsid w:val="001037EA"/>
    <w:rsid w:val="001043BC"/>
    <w:rsid w:val="0010473F"/>
    <w:rsid w:val="00105DF1"/>
    <w:rsid w:val="00105DF8"/>
    <w:rsid w:val="00105F29"/>
    <w:rsid w:val="001066A7"/>
    <w:rsid w:val="001066CB"/>
    <w:rsid w:val="00106963"/>
    <w:rsid w:val="001129E8"/>
    <w:rsid w:val="00112D01"/>
    <w:rsid w:val="00112E17"/>
    <w:rsid w:val="00113BD0"/>
    <w:rsid w:val="00116C75"/>
    <w:rsid w:val="00116C9B"/>
    <w:rsid w:val="00116DB1"/>
    <w:rsid w:val="00117863"/>
    <w:rsid w:val="00117D28"/>
    <w:rsid w:val="00117FF1"/>
    <w:rsid w:val="00123C7B"/>
    <w:rsid w:val="00123F8E"/>
    <w:rsid w:val="00124A13"/>
    <w:rsid w:val="00124CFA"/>
    <w:rsid w:val="00125DFF"/>
    <w:rsid w:val="001262AE"/>
    <w:rsid w:val="001279DC"/>
    <w:rsid w:val="00127F2A"/>
    <w:rsid w:val="00130034"/>
    <w:rsid w:val="00133F49"/>
    <w:rsid w:val="00134A15"/>
    <w:rsid w:val="00135302"/>
    <w:rsid w:val="001374EE"/>
    <w:rsid w:val="001376C8"/>
    <w:rsid w:val="001377FB"/>
    <w:rsid w:val="00137BD7"/>
    <w:rsid w:val="001408EF"/>
    <w:rsid w:val="00141CBC"/>
    <w:rsid w:val="00142DA4"/>
    <w:rsid w:val="0014392E"/>
    <w:rsid w:val="001442D1"/>
    <w:rsid w:val="00145799"/>
    <w:rsid w:val="0014682D"/>
    <w:rsid w:val="00150B6F"/>
    <w:rsid w:val="00150C35"/>
    <w:rsid w:val="001526A3"/>
    <w:rsid w:val="001526AD"/>
    <w:rsid w:val="00152A9B"/>
    <w:rsid w:val="00152DA4"/>
    <w:rsid w:val="001536C1"/>
    <w:rsid w:val="00155F8B"/>
    <w:rsid w:val="00156339"/>
    <w:rsid w:val="00156C5E"/>
    <w:rsid w:val="00160755"/>
    <w:rsid w:val="00161BE5"/>
    <w:rsid w:val="0016236B"/>
    <w:rsid w:val="0016280D"/>
    <w:rsid w:val="0016299F"/>
    <w:rsid w:val="00162BD1"/>
    <w:rsid w:val="00162C01"/>
    <w:rsid w:val="00162F8C"/>
    <w:rsid w:val="001641CD"/>
    <w:rsid w:val="001645B7"/>
    <w:rsid w:val="00164D54"/>
    <w:rsid w:val="001653A5"/>
    <w:rsid w:val="0016586A"/>
    <w:rsid w:val="0016619A"/>
    <w:rsid w:val="00166842"/>
    <w:rsid w:val="00166896"/>
    <w:rsid w:val="00166E2C"/>
    <w:rsid w:val="00171626"/>
    <w:rsid w:val="001716F7"/>
    <w:rsid w:val="00171F30"/>
    <w:rsid w:val="0017281E"/>
    <w:rsid w:val="00172858"/>
    <w:rsid w:val="00173F0E"/>
    <w:rsid w:val="00174757"/>
    <w:rsid w:val="00174860"/>
    <w:rsid w:val="00175890"/>
    <w:rsid w:val="0017669A"/>
    <w:rsid w:val="00176C97"/>
    <w:rsid w:val="00176CD4"/>
    <w:rsid w:val="00177E17"/>
    <w:rsid w:val="0018037B"/>
    <w:rsid w:val="00180607"/>
    <w:rsid w:val="00180B1C"/>
    <w:rsid w:val="001824CA"/>
    <w:rsid w:val="0018254C"/>
    <w:rsid w:val="001829E1"/>
    <w:rsid w:val="00182DD9"/>
    <w:rsid w:val="0018407B"/>
    <w:rsid w:val="0018438B"/>
    <w:rsid w:val="0018478E"/>
    <w:rsid w:val="001849D2"/>
    <w:rsid w:val="00185BD5"/>
    <w:rsid w:val="00185DD0"/>
    <w:rsid w:val="00186B16"/>
    <w:rsid w:val="001916DE"/>
    <w:rsid w:val="001917B2"/>
    <w:rsid w:val="00191FD7"/>
    <w:rsid w:val="0019204A"/>
    <w:rsid w:val="001927B6"/>
    <w:rsid w:val="00192DA7"/>
    <w:rsid w:val="001931F5"/>
    <w:rsid w:val="00193894"/>
    <w:rsid w:val="001955A9"/>
    <w:rsid w:val="0019688B"/>
    <w:rsid w:val="001A03CA"/>
    <w:rsid w:val="001A0D1A"/>
    <w:rsid w:val="001A12EF"/>
    <w:rsid w:val="001A2275"/>
    <w:rsid w:val="001A24CB"/>
    <w:rsid w:val="001A35B5"/>
    <w:rsid w:val="001A4371"/>
    <w:rsid w:val="001A4994"/>
    <w:rsid w:val="001A5F2D"/>
    <w:rsid w:val="001A7003"/>
    <w:rsid w:val="001A77A0"/>
    <w:rsid w:val="001B075F"/>
    <w:rsid w:val="001B0979"/>
    <w:rsid w:val="001B1171"/>
    <w:rsid w:val="001B2135"/>
    <w:rsid w:val="001B2180"/>
    <w:rsid w:val="001B22F4"/>
    <w:rsid w:val="001B336F"/>
    <w:rsid w:val="001B3420"/>
    <w:rsid w:val="001B4369"/>
    <w:rsid w:val="001B52BC"/>
    <w:rsid w:val="001B5564"/>
    <w:rsid w:val="001B5642"/>
    <w:rsid w:val="001B57B9"/>
    <w:rsid w:val="001B5CA4"/>
    <w:rsid w:val="001B5DC5"/>
    <w:rsid w:val="001B6DBE"/>
    <w:rsid w:val="001B7BEC"/>
    <w:rsid w:val="001C01BC"/>
    <w:rsid w:val="001C094A"/>
    <w:rsid w:val="001C120B"/>
    <w:rsid w:val="001C15A0"/>
    <w:rsid w:val="001C2014"/>
    <w:rsid w:val="001C2254"/>
    <w:rsid w:val="001C373E"/>
    <w:rsid w:val="001C3CD3"/>
    <w:rsid w:val="001C45D4"/>
    <w:rsid w:val="001C4D3D"/>
    <w:rsid w:val="001C5BD4"/>
    <w:rsid w:val="001C5F86"/>
    <w:rsid w:val="001C6952"/>
    <w:rsid w:val="001C7480"/>
    <w:rsid w:val="001C7A5A"/>
    <w:rsid w:val="001D0B1A"/>
    <w:rsid w:val="001D104A"/>
    <w:rsid w:val="001D17E5"/>
    <w:rsid w:val="001D18C4"/>
    <w:rsid w:val="001D1EA4"/>
    <w:rsid w:val="001D361E"/>
    <w:rsid w:val="001D39C1"/>
    <w:rsid w:val="001D3C76"/>
    <w:rsid w:val="001D408A"/>
    <w:rsid w:val="001D4377"/>
    <w:rsid w:val="001D49DA"/>
    <w:rsid w:val="001D5576"/>
    <w:rsid w:val="001D63AE"/>
    <w:rsid w:val="001D6BDE"/>
    <w:rsid w:val="001D72AD"/>
    <w:rsid w:val="001D74AF"/>
    <w:rsid w:val="001D7EC8"/>
    <w:rsid w:val="001E0806"/>
    <w:rsid w:val="001E25D6"/>
    <w:rsid w:val="001E2E02"/>
    <w:rsid w:val="001E4D03"/>
    <w:rsid w:val="001E4F44"/>
    <w:rsid w:val="001E61B1"/>
    <w:rsid w:val="001E6B52"/>
    <w:rsid w:val="001E7987"/>
    <w:rsid w:val="001E7F9C"/>
    <w:rsid w:val="001F0F09"/>
    <w:rsid w:val="001F2817"/>
    <w:rsid w:val="001F31D2"/>
    <w:rsid w:val="001F327E"/>
    <w:rsid w:val="001F3DD8"/>
    <w:rsid w:val="001F4520"/>
    <w:rsid w:val="001F4738"/>
    <w:rsid w:val="0020142D"/>
    <w:rsid w:val="00201976"/>
    <w:rsid w:val="00201EF6"/>
    <w:rsid w:val="002020D2"/>
    <w:rsid w:val="002023E6"/>
    <w:rsid w:val="00203122"/>
    <w:rsid w:val="00203B77"/>
    <w:rsid w:val="00204F50"/>
    <w:rsid w:val="00205B70"/>
    <w:rsid w:val="00206A90"/>
    <w:rsid w:val="0020736F"/>
    <w:rsid w:val="002074B1"/>
    <w:rsid w:val="00207AD4"/>
    <w:rsid w:val="00207AE0"/>
    <w:rsid w:val="002111E5"/>
    <w:rsid w:val="002114E9"/>
    <w:rsid w:val="00211718"/>
    <w:rsid w:val="00211C59"/>
    <w:rsid w:val="00212922"/>
    <w:rsid w:val="002136C4"/>
    <w:rsid w:val="002144BF"/>
    <w:rsid w:val="00214CA5"/>
    <w:rsid w:val="00215F8C"/>
    <w:rsid w:val="002161F8"/>
    <w:rsid w:val="0021691C"/>
    <w:rsid w:val="00216B71"/>
    <w:rsid w:val="002176AE"/>
    <w:rsid w:val="00217797"/>
    <w:rsid w:val="002201D0"/>
    <w:rsid w:val="002213D3"/>
    <w:rsid w:val="00221CC6"/>
    <w:rsid w:val="00222445"/>
    <w:rsid w:val="002259CC"/>
    <w:rsid w:val="0022740C"/>
    <w:rsid w:val="002276E5"/>
    <w:rsid w:val="00227F1D"/>
    <w:rsid w:val="00230407"/>
    <w:rsid w:val="00230546"/>
    <w:rsid w:val="00230751"/>
    <w:rsid w:val="00230D06"/>
    <w:rsid w:val="0023144F"/>
    <w:rsid w:val="00231ADB"/>
    <w:rsid w:val="00232329"/>
    <w:rsid w:val="00233056"/>
    <w:rsid w:val="00234299"/>
    <w:rsid w:val="00234AD9"/>
    <w:rsid w:val="00234D50"/>
    <w:rsid w:val="00235CE6"/>
    <w:rsid w:val="00236157"/>
    <w:rsid w:val="00236418"/>
    <w:rsid w:val="0023688A"/>
    <w:rsid w:val="002368D4"/>
    <w:rsid w:val="00236EBF"/>
    <w:rsid w:val="00237DA8"/>
    <w:rsid w:val="00240395"/>
    <w:rsid w:val="00241C2B"/>
    <w:rsid w:val="00241D5B"/>
    <w:rsid w:val="00242475"/>
    <w:rsid w:val="00242616"/>
    <w:rsid w:val="0024297A"/>
    <w:rsid w:val="00242D1F"/>
    <w:rsid w:val="00242E8F"/>
    <w:rsid w:val="002441EF"/>
    <w:rsid w:val="00244372"/>
    <w:rsid w:val="00244E76"/>
    <w:rsid w:val="0024584F"/>
    <w:rsid w:val="00246734"/>
    <w:rsid w:val="00246E4E"/>
    <w:rsid w:val="002502F9"/>
    <w:rsid w:val="00250742"/>
    <w:rsid w:val="00250B66"/>
    <w:rsid w:val="00251E54"/>
    <w:rsid w:val="00252A08"/>
    <w:rsid w:val="0025338E"/>
    <w:rsid w:val="00253B13"/>
    <w:rsid w:val="00254AB7"/>
    <w:rsid w:val="002552C8"/>
    <w:rsid w:val="00255E04"/>
    <w:rsid w:val="00256268"/>
    <w:rsid w:val="002609FB"/>
    <w:rsid w:val="00261160"/>
    <w:rsid w:val="00262EEE"/>
    <w:rsid w:val="00263F48"/>
    <w:rsid w:val="00264CE1"/>
    <w:rsid w:val="00264FB0"/>
    <w:rsid w:val="0026548A"/>
    <w:rsid w:val="00265A5D"/>
    <w:rsid w:val="00265F18"/>
    <w:rsid w:val="0027030A"/>
    <w:rsid w:val="00270860"/>
    <w:rsid w:val="00271661"/>
    <w:rsid w:val="002716C7"/>
    <w:rsid w:val="002719E0"/>
    <w:rsid w:val="002742BA"/>
    <w:rsid w:val="00274A20"/>
    <w:rsid w:val="002750E1"/>
    <w:rsid w:val="00275111"/>
    <w:rsid w:val="00275428"/>
    <w:rsid w:val="0027587E"/>
    <w:rsid w:val="002761C7"/>
    <w:rsid w:val="002762AB"/>
    <w:rsid w:val="002765CC"/>
    <w:rsid w:val="00276838"/>
    <w:rsid w:val="00276CA2"/>
    <w:rsid w:val="00281468"/>
    <w:rsid w:val="0028158C"/>
    <w:rsid w:val="002816EE"/>
    <w:rsid w:val="00281852"/>
    <w:rsid w:val="00282BBE"/>
    <w:rsid w:val="002832D4"/>
    <w:rsid w:val="0028582F"/>
    <w:rsid w:val="0028655E"/>
    <w:rsid w:val="00286A71"/>
    <w:rsid w:val="00286FC6"/>
    <w:rsid w:val="00287C54"/>
    <w:rsid w:val="00290076"/>
    <w:rsid w:val="002908F6"/>
    <w:rsid w:val="00290F8D"/>
    <w:rsid w:val="002915A3"/>
    <w:rsid w:val="0029168A"/>
    <w:rsid w:val="00291BB8"/>
    <w:rsid w:val="002925A4"/>
    <w:rsid w:val="00293506"/>
    <w:rsid w:val="00293BCF"/>
    <w:rsid w:val="00295492"/>
    <w:rsid w:val="002954A5"/>
    <w:rsid w:val="002956E2"/>
    <w:rsid w:val="002963B8"/>
    <w:rsid w:val="00296B08"/>
    <w:rsid w:val="00296BB1"/>
    <w:rsid w:val="00297060"/>
    <w:rsid w:val="0029731E"/>
    <w:rsid w:val="00297611"/>
    <w:rsid w:val="00297A5C"/>
    <w:rsid w:val="00297B35"/>
    <w:rsid w:val="00297E68"/>
    <w:rsid w:val="002A00D5"/>
    <w:rsid w:val="002A06B9"/>
    <w:rsid w:val="002A2366"/>
    <w:rsid w:val="002A332C"/>
    <w:rsid w:val="002A4530"/>
    <w:rsid w:val="002A5523"/>
    <w:rsid w:val="002A652E"/>
    <w:rsid w:val="002A6BC1"/>
    <w:rsid w:val="002A6F5F"/>
    <w:rsid w:val="002A72D9"/>
    <w:rsid w:val="002B00B2"/>
    <w:rsid w:val="002B107D"/>
    <w:rsid w:val="002B2288"/>
    <w:rsid w:val="002B4A46"/>
    <w:rsid w:val="002B7138"/>
    <w:rsid w:val="002B7F93"/>
    <w:rsid w:val="002C006B"/>
    <w:rsid w:val="002C0DBF"/>
    <w:rsid w:val="002C0E45"/>
    <w:rsid w:val="002C143E"/>
    <w:rsid w:val="002C261C"/>
    <w:rsid w:val="002C2B6E"/>
    <w:rsid w:val="002C42B7"/>
    <w:rsid w:val="002C42EA"/>
    <w:rsid w:val="002C5D47"/>
    <w:rsid w:val="002C5DA7"/>
    <w:rsid w:val="002C5EC4"/>
    <w:rsid w:val="002C7DFE"/>
    <w:rsid w:val="002D04A5"/>
    <w:rsid w:val="002D0616"/>
    <w:rsid w:val="002D1AE2"/>
    <w:rsid w:val="002D28B3"/>
    <w:rsid w:val="002D2C9C"/>
    <w:rsid w:val="002D3062"/>
    <w:rsid w:val="002D3FF2"/>
    <w:rsid w:val="002D404F"/>
    <w:rsid w:val="002D416B"/>
    <w:rsid w:val="002D52BA"/>
    <w:rsid w:val="002D5DB0"/>
    <w:rsid w:val="002D71FC"/>
    <w:rsid w:val="002D7457"/>
    <w:rsid w:val="002E0023"/>
    <w:rsid w:val="002E0748"/>
    <w:rsid w:val="002E0BC0"/>
    <w:rsid w:val="002E0CBC"/>
    <w:rsid w:val="002E1562"/>
    <w:rsid w:val="002E17D9"/>
    <w:rsid w:val="002E1B36"/>
    <w:rsid w:val="002E1F50"/>
    <w:rsid w:val="002E1FB2"/>
    <w:rsid w:val="002E27D3"/>
    <w:rsid w:val="002E2ADA"/>
    <w:rsid w:val="002E3028"/>
    <w:rsid w:val="002E4011"/>
    <w:rsid w:val="002E4173"/>
    <w:rsid w:val="002E4D66"/>
    <w:rsid w:val="002E5BA2"/>
    <w:rsid w:val="002E6BCB"/>
    <w:rsid w:val="002E7AF2"/>
    <w:rsid w:val="002E7BED"/>
    <w:rsid w:val="002F1245"/>
    <w:rsid w:val="002F124E"/>
    <w:rsid w:val="002F179C"/>
    <w:rsid w:val="002F1864"/>
    <w:rsid w:val="002F1C49"/>
    <w:rsid w:val="002F1F8C"/>
    <w:rsid w:val="002F2168"/>
    <w:rsid w:val="002F268D"/>
    <w:rsid w:val="002F339C"/>
    <w:rsid w:val="002F5B8A"/>
    <w:rsid w:val="002F707E"/>
    <w:rsid w:val="00300811"/>
    <w:rsid w:val="003020CA"/>
    <w:rsid w:val="00302F46"/>
    <w:rsid w:val="0030306C"/>
    <w:rsid w:val="00305B6D"/>
    <w:rsid w:val="00306872"/>
    <w:rsid w:val="00306F77"/>
    <w:rsid w:val="00307A77"/>
    <w:rsid w:val="00311675"/>
    <w:rsid w:val="0031199F"/>
    <w:rsid w:val="0031437C"/>
    <w:rsid w:val="0031553A"/>
    <w:rsid w:val="00316133"/>
    <w:rsid w:val="003175DB"/>
    <w:rsid w:val="00317859"/>
    <w:rsid w:val="00320885"/>
    <w:rsid w:val="00320B39"/>
    <w:rsid w:val="00320CDE"/>
    <w:rsid w:val="00320CF1"/>
    <w:rsid w:val="00320E3C"/>
    <w:rsid w:val="00321643"/>
    <w:rsid w:val="00321A29"/>
    <w:rsid w:val="00321D8C"/>
    <w:rsid w:val="003225A1"/>
    <w:rsid w:val="00322AA5"/>
    <w:rsid w:val="00322CB1"/>
    <w:rsid w:val="00323B84"/>
    <w:rsid w:val="00324090"/>
    <w:rsid w:val="00324708"/>
    <w:rsid w:val="0032560E"/>
    <w:rsid w:val="00326E74"/>
    <w:rsid w:val="003271A5"/>
    <w:rsid w:val="00327976"/>
    <w:rsid w:val="003313A5"/>
    <w:rsid w:val="003326C5"/>
    <w:rsid w:val="0033308E"/>
    <w:rsid w:val="003334F0"/>
    <w:rsid w:val="003337F5"/>
    <w:rsid w:val="00333B82"/>
    <w:rsid w:val="003342FD"/>
    <w:rsid w:val="003346CD"/>
    <w:rsid w:val="003347A0"/>
    <w:rsid w:val="00334876"/>
    <w:rsid w:val="00334A3C"/>
    <w:rsid w:val="00334B26"/>
    <w:rsid w:val="00334B8F"/>
    <w:rsid w:val="00335A7F"/>
    <w:rsid w:val="00335C58"/>
    <w:rsid w:val="0033681D"/>
    <w:rsid w:val="00337426"/>
    <w:rsid w:val="00337710"/>
    <w:rsid w:val="00340248"/>
    <w:rsid w:val="00340297"/>
    <w:rsid w:val="0034084D"/>
    <w:rsid w:val="00340CD0"/>
    <w:rsid w:val="00340F28"/>
    <w:rsid w:val="0034176C"/>
    <w:rsid w:val="003418E9"/>
    <w:rsid w:val="00342621"/>
    <w:rsid w:val="00342CAE"/>
    <w:rsid w:val="00345236"/>
    <w:rsid w:val="00345D52"/>
    <w:rsid w:val="00346881"/>
    <w:rsid w:val="00346945"/>
    <w:rsid w:val="00347872"/>
    <w:rsid w:val="00347BA0"/>
    <w:rsid w:val="00350573"/>
    <w:rsid w:val="00350B72"/>
    <w:rsid w:val="003515F7"/>
    <w:rsid w:val="00351655"/>
    <w:rsid w:val="00351877"/>
    <w:rsid w:val="00351EE5"/>
    <w:rsid w:val="003522D8"/>
    <w:rsid w:val="00352765"/>
    <w:rsid w:val="00352BC6"/>
    <w:rsid w:val="00353623"/>
    <w:rsid w:val="0035388F"/>
    <w:rsid w:val="00353980"/>
    <w:rsid w:val="0035475B"/>
    <w:rsid w:val="003548AC"/>
    <w:rsid w:val="00356AAD"/>
    <w:rsid w:val="00360D21"/>
    <w:rsid w:val="003626AC"/>
    <w:rsid w:val="00362E8A"/>
    <w:rsid w:val="00362F25"/>
    <w:rsid w:val="0036304F"/>
    <w:rsid w:val="00364ADE"/>
    <w:rsid w:val="00364FCB"/>
    <w:rsid w:val="00365E1D"/>
    <w:rsid w:val="00365EA0"/>
    <w:rsid w:val="00365F62"/>
    <w:rsid w:val="003660FB"/>
    <w:rsid w:val="0036620D"/>
    <w:rsid w:val="0036777E"/>
    <w:rsid w:val="00367EC2"/>
    <w:rsid w:val="003732F0"/>
    <w:rsid w:val="0037399E"/>
    <w:rsid w:val="00373BC8"/>
    <w:rsid w:val="00374555"/>
    <w:rsid w:val="00374968"/>
    <w:rsid w:val="00374F2B"/>
    <w:rsid w:val="003754A1"/>
    <w:rsid w:val="00375787"/>
    <w:rsid w:val="003759AF"/>
    <w:rsid w:val="00376F82"/>
    <w:rsid w:val="003771CE"/>
    <w:rsid w:val="00380B7F"/>
    <w:rsid w:val="00380C2E"/>
    <w:rsid w:val="00381F45"/>
    <w:rsid w:val="00382FA1"/>
    <w:rsid w:val="00383145"/>
    <w:rsid w:val="00383284"/>
    <w:rsid w:val="00384549"/>
    <w:rsid w:val="00384796"/>
    <w:rsid w:val="0038520B"/>
    <w:rsid w:val="0038567F"/>
    <w:rsid w:val="00387BA4"/>
    <w:rsid w:val="00390566"/>
    <w:rsid w:val="00391A42"/>
    <w:rsid w:val="003926E8"/>
    <w:rsid w:val="003935DB"/>
    <w:rsid w:val="00394105"/>
    <w:rsid w:val="00394988"/>
    <w:rsid w:val="00394BC2"/>
    <w:rsid w:val="00395CE4"/>
    <w:rsid w:val="00396CE3"/>
    <w:rsid w:val="00396D48"/>
    <w:rsid w:val="00397426"/>
    <w:rsid w:val="003A10FC"/>
    <w:rsid w:val="003A12FD"/>
    <w:rsid w:val="003A1473"/>
    <w:rsid w:val="003A1669"/>
    <w:rsid w:val="003A1718"/>
    <w:rsid w:val="003A19FF"/>
    <w:rsid w:val="003A1AAE"/>
    <w:rsid w:val="003A1C30"/>
    <w:rsid w:val="003A344A"/>
    <w:rsid w:val="003A4977"/>
    <w:rsid w:val="003A4CF5"/>
    <w:rsid w:val="003A4F61"/>
    <w:rsid w:val="003A6463"/>
    <w:rsid w:val="003A662E"/>
    <w:rsid w:val="003A713A"/>
    <w:rsid w:val="003B01B8"/>
    <w:rsid w:val="003B0E2B"/>
    <w:rsid w:val="003B1146"/>
    <w:rsid w:val="003B1274"/>
    <w:rsid w:val="003B2B19"/>
    <w:rsid w:val="003B3AB4"/>
    <w:rsid w:val="003B4BF2"/>
    <w:rsid w:val="003B4DB1"/>
    <w:rsid w:val="003B4ED2"/>
    <w:rsid w:val="003B5524"/>
    <w:rsid w:val="003B56ED"/>
    <w:rsid w:val="003B5944"/>
    <w:rsid w:val="003B6999"/>
    <w:rsid w:val="003B729C"/>
    <w:rsid w:val="003C0042"/>
    <w:rsid w:val="003C0B87"/>
    <w:rsid w:val="003C1047"/>
    <w:rsid w:val="003C230B"/>
    <w:rsid w:val="003C299E"/>
    <w:rsid w:val="003C3645"/>
    <w:rsid w:val="003C4969"/>
    <w:rsid w:val="003C5FAE"/>
    <w:rsid w:val="003C65A0"/>
    <w:rsid w:val="003D1A3C"/>
    <w:rsid w:val="003D2971"/>
    <w:rsid w:val="003D41A4"/>
    <w:rsid w:val="003D46F4"/>
    <w:rsid w:val="003D473A"/>
    <w:rsid w:val="003D4740"/>
    <w:rsid w:val="003D4AEC"/>
    <w:rsid w:val="003D5BA2"/>
    <w:rsid w:val="003D679E"/>
    <w:rsid w:val="003D69A9"/>
    <w:rsid w:val="003D7CDB"/>
    <w:rsid w:val="003E041D"/>
    <w:rsid w:val="003E0F0C"/>
    <w:rsid w:val="003E1534"/>
    <w:rsid w:val="003E170E"/>
    <w:rsid w:val="003E2C08"/>
    <w:rsid w:val="003E2FB6"/>
    <w:rsid w:val="003E31A7"/>
    <w:rsid w:val="003E3CFC"/>
    <w:rsid w:val="003E3DF2"/>
    <w:rsid w:val="003E3EF4"/>
    <w:rsid w:val="003E46A2"/>
    <w:rsid w:val="003E507B"/>
    <w:rsid w:val="003E5FA1"/>
    <w:rsid w:val="003F0E18"/>
    <w:rsid w:val="003F1941"/>
    <w:rsid w:val="003F1C1E"/>
    <w:rsid w:val="003F1F31"/>
    <w:rsid w:val="003F2922"/>
    <w:rsid w:val="003F3DE8"/>
    <w:rsid w:val="003F446F"/>
    <w:rsid w:val="003F50C0"/>
    <w:rsid w:val="003F5B0C"/>
    <w:rsid w:val="003F6E80"/>
    <w:rsid w:val="00400152"/>
    <w:rsid w:val="0040099A"/>
    <w:rsid w:val="004013E2"/>
    <w:rsid w:val="004017CE"/>
    <w:rsid w:val="004021A3"/>
    <w:rsid w:val="004026A5"/>
    <w:rsid w:val="00403377"/>
    <w:rsid w:val="00403941"/>
    <w:rsid w:val="00403B08"/>
    <w:rsid w:val="00403D0F"/>
    <w:rsid w:val="00404300"/>
    <w:rsid w:val="00405642"/>
    <w:rsid w:val="00405DA9"/>
    <w:rsid w:val="00406048"/>
    <w:rsid w:val="004067D3"/>
    <w:rsid w:val="004067FA"/>
    <w:rsid w:val="00406AE0"/>
    <w:rsid w:val="00407353"/>
    <w:rsid w:val="00407736"/>
    <w:rsid w:val="00407B84"/>
    <w:rsid w:val="0041164D"/>
    <w:rsid w:val="00411DBD"/>
    <w:rsid w:val="004121E5"/>
    <w:rsid w:val="00413CAD"/>
    <w:rsid w:val="00414B9D"/>
    <w:rsid w:val="00415702"/>
    <w:rsid w:val="0041665C"/>
    <w:rsid w:val="0041741F"/>
    <w:rsid w:val="004174BE"/>
    <w:rsid w:val="00417BAE"/>
    <w:rsid w:val="0042004F"/>
    <w:rsid w:val="004208B8"/>
    <w:rsid w:val="0042145B"/>
    <w:rsid w:val="004215D4"/>
    <w:rsid w:val="00423128"/>
    <w:rsid w:val="0042378D"/>
    <w:rsid w:val="00423D45"/>
    <w:rsid w:val="00423F29"/>
    <w:rsid w:val="0042496A"/>
    <w:rsid w:val="004260DF"/>
    <w:rsid w:val="004264D0"/>
    <w:rsid w:val="00426E23"/>
    <w:rsid w:val="004279A1"/>
    <w:rsid w:val="00430711"/>
    <w:rsid w:val="004311F7"/>
    <w:rsid w:val="0043133F"/>
    <w:rsid w:val="00431421"/>
    <w:rsid w:val="004326C0"/>
    <w:rsid w:val="00432B06"/>
    <w:rsid w:val="00433EC1"/>
    <w:rsid w:val="00434D8F"/>
    <w:rsid w:val="00434E69"/>
    <w:rsid w:val="004357FB"/>
    <w:rsid w:val="004358C6"/>
    <w:rsid w:val="00436090"/>
    <w:rsid w:val="00437D77"/>
    <w:rsid w:val="00437EB5"/>
    <w:rsid w:val="00440292"/>
    <w:rsid w:val="00441FA0"/>
    <w:rsid w:val="00444250"/>
    <w:rsid w:val="004442B6"/>
    <w:rsid w:val="00444B34"/>
    <w:rsid w:val="004458D1"/>
    <w:rsid w:val="00445C2F"/>
    <w:rsid w:val="0044726F"/>
    <w:rsid w:val="004473FF"/>
    <w:rsid w:val="0045075C"/>
    <w:rsid w:val="00450D8C"/>
    <w:rsid w:val="004520EF"/>
    <w:rsid w:val="004522E5"/>
    <w:rsid w:val="00452490"/>
    <w:rsid w:val="00452F83"/>
    <w:rsid w:val="0045382E"/>
    <w:rsid w:val="00453DD1"/>
    <w:rsid w:val="004542B0"/>
    <w:rsid w:val="004542CD"/>
    <w:rsid w:val="00454544"/>
    <w:rsid w:val="0045475B"/>
    <w:rsid w:val="0045488D"/>
    <w:rsid w:val="00455D10"/>
    <w:rsid w:val="00456198"/>
    <w:rsid w:val="00456881"/>
    <w:rsid w:val="0045698A"/>
    <w:rsid w:val="00456A40"/>
    <w:rsid w:val="004576B9"/>
    <w:rsid w:val="0045772A"/>
    <w:rsid w:val="00457A8D"/>
    <w:rsid w:val="00460347"/>
    <w:rsid w:val="0046062C"/>
    <w:rsid w:val="00460762"/>
    <w:rsid w:val="00460AD0"/>
    <w:rsid w:val="00460D79"/>
    <w:rsid w:val="004628F6"/>
    <w:rsid w:val="00465986"/>
    <w:rsid w:val="00465A19"/>
    <w:rsid w:val="00466422"/>
    <w:rsid w:val="0046724C"/>
    <w:rsid w:val="00470200"/>
    <w:rsid w:val="004715CE"/>
    <w:rsid w:val="00472858"/>
    <w:rsid w:val="00472A61"/>
    <w:rsid w:val="004739B2"/>
    <w:rsid w:val="00473CDB"/>
    <w:rsid w:val="00474C42"/>
    <w:rsid w:val="00475D1B"/>
    <w:rsid w:val="004766D8"/>
    <w:rsid w:val="00476CCA"/>
    <w:rsid w:val="00476F10"/>
    <w:rsid w:val="00476F71"/>
    <w:rsid w:val="004805FE"/>
    <w:rsid w:val="00480FEE"/>
    <w:rsid w:val="0048263E"/>
    <w:rsid w:val="00484E85"/>
    <w:rsid w:val="004853D4"/>
    <w:rsid w:val="0048544B"/>
    <w:rsid w:val="0048594F"/>
    <w:rsid w:val="00485EF4"/>
    <w:rsid w:val="00486E88"/>
    <w:rsid w:val="00486FEB"/>
    <w:rsid w:val="00487134"/>
    <w:rsid w:val="004872C6"/>
    <w:rsid w:val="00487F58"/>
    <w:rsid w:val="00490174"/>
    <w:rsid w:val="004904CC"/>
    <w:rsid w:val="004904DF"/>
    <w:rsid w:val="00490818"/>
    <w:rsid w:val="00490A7A"/>
    <w:rsid w:val="004911C5"/>
    <w:rsid w:val="00491916"/>
    <w:rsid w:val="00492333"/>
    <w:rsid w:val="00492C77"/>
    <w:rsid w:val="00492E65"/>
    <w:rsid w:val="004953A6"/>
    <w:rsid w:val="00495C46"/>
    <w:rsid w:val="0049608B"/>
    <w:rsid w:val="00497199"/>
    <w:rsid w:val="00497F96"/>
    <w:rsid w:val="004A12B6"/>
    <w:rsid w:val="004A192C"/>
    <w:rsid w:val="004A1ACB"/>
    <w:rsid w:val="004A3199"/>
    <w:rsid w:val="004A362D"/>
    <w:rsid w:val="004A369D"/>
    <w:rsid w:val="004A3742"/>
    <w:rsid w:val="004A4619"/>
    <w:rsid w:val="004A62E9"/>
    <w:rsid w:val="004A6F0D"/>
    <w:rsid w:val="004A71F1"/>
    <w:rsid w:val="004B0530"/>
    <w:rsid w:val="004B076E"/>
    <w:rsid w:val="004B1D48"/>
    <w:rsid w:val="004B2741"/>
    <w:rsid w:val="004B3BC1"/>
    <w:rsid w:val="004B49E6"/>
    <w:rsid w:val="004B4F85"/>
    <w:rsid w:val="004B4F8A"/>
    <w:rsid w:val="004B6739"/>
    <w:rsid w:val="004B69E9"/>
    <w:rsid w:val="004B6B42"/>
    <w:rsid w:val="004B7150"/>
    <w:rsid w:val="004B72F5"/>
    <w:rsid w:val="004B7855"/>
    <w:rsid w:val="004B796A"/>
    <w:rsid w:val="004C014C"/>
    <w:rsid w:val="004C04B3"/>
    <w:rsid w:val="004C07D8"/>
    <w:rsid w:val="004C20A9"/>
    <w:rsid w:val="004C29E0"/>
    <w:rsid w:val="004C36E0"/>
    <w:rsid w:val="004C3B18"/>
    <w:rsid w:val="004C409E"/>
    <w:rsid w:val="004C4DE4"/>
    <w:rsid w:val="004C5061"/>
    <w:rsid w:val="004C6F05"/>
    <w:rsid w:val="004D0015"/>
    <w:rsid w:val="004D034B"/>
    <w:rsid w:val="004D1592"/>
    <w:rsid w:val="004D2A16"/>
    <w:rsid w:val="004D31A3"/>
    <w:rsid w:val="004D3484"/>
    <w:rsid w:val="004D4CCF"/>
    <w:rsid w:val="004D4F05"/>
    <w:rsid w:val="004D5520"/>
    <w:rsid w:val="004D5766"/>
    <w:rsid w:val="004D5B9F"/>
    <w:rsid w:val="004D6680"/>
    <w:rsid w:val="004D7303"/>
    <w:rsid w:val="004D792F"/>
    <w:rsid w:val="004D7F3C"/>
    <w:rsid w:val="004E0E60"/>
    <w:rsid w:val="004E17AD"/>
    <w:rsid w:val="004E1BB5"/>
    <w:rsid w:val="004E1C5F"/>
    <w:rsid w:val="004E20FE"/>
    <w:rsid w:val="004E29DE"/>
    <w:rsid w:val="004E6526"/>
    <w:rsid w:val="004E6CA5"/>
    <w:rsid w:val="004E70CA"/>
    <w:rsid w:val="004E73FE"/>
    <w:rsid w:val="004E7B54"/>
    <w:rsid w:val="004F1D97"/>
    <w:rsid w:val="004F32F7"/>
    <w:rsid w:val="004F339A"/>
    <w:rsid w:val="004F3929"/>
    <w:rsid w:val="004F43CE"/>
    <w:rsid w:val="004F47C3"/>
    <w:rsid w:val="004F4E5B"/>
    <w:rsid w:val="004F523A"/>
    <w:rsid w:val="00500C45"/>
    <w:rsid w:val="00501220"/>
    <w:rsid w:val="0050163A"/>
    <w:rsid w:val="00502F6C"/>
    <w:rsid w:val="00503343"/>
    <w:rsid w:val="00503C51"/>
    <w:rsid w:val="00503C6B"/>
    <w:rsid w:val="005054E1"/>
    <w:rsid w:val="005061EB"/>
    <w:rsid w:val="005064AF"/>
    <w:rsid w:val="005107B0"/>
    <w:rsid w:val="00511BF1"/>
    <w:rsid w:val="00512460"/>
    <w:rsid w:val="00512498"/>
    <w:rsid w:val="00512DBC"/>
    <w:rsid w:val="0051307A"/>
    <w:rsid w:val="00513238"/>
    <w:rsid w:val="005151DC"/>
    <w:rsid w:val="0051551D"/>
    <w:rsid w:val="005157A0"/>
    <w:rsid w:val="00515820"/>
    <w:rsid w:val="00515943"/>
    <w:rsid w:val="00516D6A"/>
    <w:rsid w:val="00517334"/>
    <w:rsid w:val="00517DD0"/>
    <w:rsid w:val="005209DC"/>
    <w:rsid w:val="00520CEF"/>
    <w:rsid w:val="0052370B"/>
    <w:rsid w:val="005245ED"/>
    <w:rsid w:val="005249BE"/>
    <w:rsid w:val="005249DF"/>
    <w:rsid w:val="00525783"/>
    <w:rsid w:val="00525940"/>
    <w:rsid w:val="00525B88"/>
    <w:rsid w:val="00525D22"/>
    <w:rsid w:val="005261BD"/>
    <w:rsid w:val="00526C4E"/>
    <w:rsid w:val="00526EC5"/>
    <w:rsid w:val="00527CCA"/>
    <w:rsid w:val="00530F69"/>
    <w:rsid w:val="005314E7"/>
    <w:rsid w:val="00532752"/>
    <w:rsid w:val="00532FB9"/>
    <w:rsid w:val="00533062"/>
    <w:rsid w:val="00533092"/>
    <w:rsid w:val="00533BA1"/>
    <w:rsid w:val="00535882"/>
    <w:rsid w:val="00536362"/>
    <w:rsid w:val="00536530"/>
    <w:rsid w:val="005368A8"/>
    <w:rsid w:val="00536EF2"/>
    <w:rsid w:val="00536F96"/>
    <w:rsid w:val="005372AE"/>
    <w:rsid w:val="00537ADA"/>
    <w:rsid w:val="00540234"/>
    <w:rsid w:val="0054023C"/>
    <w:rsid w:val="005402BE"/>
    <w:rsid w:val="005418E7"/>
    <w:rsid w:val="00541B16"/>
    <w:rsid w:val="00544303"/>
    <w:rsid w:val="00545C68"/>
    <w:rsid w:val="00545CA2"/>
    <w:rsid w:val="00545E25"/>
    <w:rsid w:val="005461B7"/>
    <w:rsid w:val="00546523"/>
    <w:rsid w:val="00547EEC"/>
    <w:rsid w:val="005500AF"/>
    <w:rsid w:val="00550657"/>
    <w:rsid w:val="005511A2"/>
    <w:rsid w:val="0055128D"/>
    <w:rsid w:val="005521CA"/>
    <w:rsid w:val="00552EFE"/>
    <w:rsid w:val="00552F7A"/>
    <w:rsid w:val="0055303F"/>
    <w:rsid w:val="0055485D"/>
    <w:rsid w:val="00554DF1"/>
    <w:rsid w:val="005556E3"/>
    <w:rsid w:val="00555B36"/>
    <w:rsid w:val="00555C27"/>
    <w:rsid w:val="005574AF"/>
    <w:rsid w:val="005576A2"/>
    <w:rsid w:val="00557951"/>
    <w:rsid w:val="00561C76"/>
    <w:rsid w:val="00563AD8"/>
    <w:rsid w:val="005642C3"/>
    <w:rsid w:val="005661E7"/>
    <w:rsid w:val="00566778"/>
    <w:rsid w:val="00566AE4"/>
    <w:rsid w:val="0056704E"/>
    <w:rsid w:val="005700BB"/>
    <w:rsid w:val="0057020A"/>
    <w:rsid w:val="00571578"/>
    <w:rsid w:val="0057280A"/>
    <w:rsid w:val="00572D34"/>
    <w:rsid w:val="00573FB8"/>
    <w:rsid w:val="00574BF7"/>
    <w:rsid w:val="005750A7"/>
    <w:rsid w:val="00576077"/>
    <w:rsid w:val="00576235"/>
    <w:rsid w:val="005765B5"/>
    <w:rsid w:val="0057667D"/>
    <w:rsid w:val="00576C75"/>
    <w:rsid w:val="00577324"/>
    <w:rsid w:val="005802A7"/>
    <w:rsid w:val="005804CB"/>
    <w:rsid w:val="00580518"/>
    <w:rsid w:val="0058152C"/>
    <w:rsid w:val="00581B18"/>
    <w:rsid w:val="00582348"/>
    <w:rsid w:val="0058259C"/>
    <w:rsid w:val="00583722"/>
    <w:rsid w:val="00583E09"/>
    <w:rsid w:val="00584A62"/>
    <w:rsid w:val="00584D64"/>
    <w:rsid w:val="005853C7"/>
    <w:rsid w:val="005856AE"/>
    <w:rsid w:val="005858F1"/>
    <w:rsid w:val="00586684"/>
    <w:rsid w:val="00586A80"/>
    <w:rsid w:val="00587796"/>
    <w:rsid w:val="00587C48"/>
    <w:rsid w:val="005900F4"/>
    <w:rsid w:val="00590315"/>
    <w:rsid w:val="00591AFE"/>
    <w:rsid w:val="005923AA"/>
    <w:rsid w:val="00592A3C"/>
    <w:rsid w:val="00592BF7"/>
    <w:rsid w:val="00592CA1"/>
    <w:rsid w:val="00593411"/>
    <w:rsid w:val="00593C7A"/>
    <w:rsid w:val="00593E92"/>
    <w:rsid w:val="005944F1"/>
    <w:rsid w:val="00594E96"/>
    <w:rsid w:val="005959B8"/>
    <w:rsid w:val="00597737"/>
    <w:rsid w:val="005A009A"/>
    <w:rsid w:val="005A122E"/>
    <w:rsid w:val="005A125E"/>
    <w:rsid w:val="005A126C"/>
    <w:rsid w:val="005A1D5B"/>
    <w:rsid w:val="005A1E15"/>
    <w:rsid w:val="005A295B"/>
    <w:rsid w:val="005A2BC7"/>
    <w:rsid w:val="005A4105"/>
    <w:rsid w:val="005A4673"/>
    <w:rsid w:val="005A475A"/>
    <w:rsid w:val="005A5174"/>
    <w:rsid w:val="005A5497"/>
    <w:rsid w:val="005A5735"/>
    <w:rsid w:val="005A6AEC"/>
    <w:rsid w:val="005A7616"/>
    <w:rsid w:val="005A7835"/>
    <w:rsid w:val="005A79BD"/>
    <w:rsid w:val="005A7E87"/>
    <w:rsid w:val="005B00D8"/>
    <w:rsid w:val="005B124C"/>
    <w:rsid w:val="005B2DF1"/>
    <w:rsid w:val="005B3759"/>
    <w:rsid w:val="005B420F"/>
    <w:rsid w:val="005B6199"/>
    <w:rsid w:val="005B7231"/>
    <w:rsid w:val="005B7BB6"/>
    <w:rsid w:val="005C037D"/>
    <w:rsid w:val="005C251E"/>
    <w:rsid w:val="005C4B9C"/>
    <w:rsid w:val="005C59A1"/>
    <w:rsid w:val="005C5ACC"/>
    <w:rsid w:val="005C5F8E"/>
    <w:rsid w:val="005C6465"/>
    <w:rsid w:val="005C7228"/>
    <w:rsid w:val="005C77E3"/>
    <w:rsid w:val="005D0064"/>
    <w:rsid w:val="005D104B"/>
    <w:rsid w:val="005D1A4D"/>
    <w:rsid w:val="005D21CD"/>
    <w:rsid w:val="005D2759"/>
    <w:rsid w:val="005D2C2C"/>
    <w:rsid w:val="005D2F67"/>
    <w:rsid w:val="005D37D5"/>
    <w:rsid w:val="005D4A43"/>
    <w:rsid w:val="005D5336"/>
    <w:rsid w:val="005D56DC"/>
    <w:rsid w:val="005D6367"/>
    <w:rsid w:val="005D63C1"/>
    <w:rsid w:val="005D6BB6"/>
    <w:rsid w:val="005D6DA9"/>
    <w:rsid w:val="005D6F7C"/>
    <w:rsid w:val="005E2687"/>
    <w:rsid w:val="005E3D95"/>
    <w:rsid w:val="005E463A"/>
    <w:rsid w:val="005E4FF1"/>
    <w:rsid w:val="005E5693"/>
    <w:rsid w:val="005E5F86"/>
    <w:rsid w:val="005E5FA2"/>
    <w:rsid w:val="005E6364"/>
    <w:rsid w:val="005E6C47"/>
    <w:rsid w:val="005E738E"/>
    <w:rsid w:val="005F024C"/>
    <w:rsid w:val="005F0359"/>
    <w:rsid w:val="005F24E6"/>
    <w:rsid w:val="005F44D1"/>
    <w:rsid w:val="005F67A5"/>
    <w:rsid w:val="005F72B8"/>
    <w:rsid w:val="005F784F"/>
    <w:rsid w:val="00601100"/>
    <w:rsid w:val="006024E4"/>
    <w:rsid w:val="00603008"/>
    <w:rsid w:val="00603643"/>
    <w:rsid w:val="00603A13"/>
    <w:rsid w:val="00604758"/>
    <w:rsid w:val="00605BDB"/>
    <w:rsid w:val="00605D35"/>
    <w:rsid w:val="00605E2E"/>
    <w:rsid w:val="00605EEB"/>
    <w:rsid w:val="00605F9A"/>
    <w:rsid w:val="00607D94"/>
    <w:rsid w:val="0061038B"/>
    <w:rsid w:val="006103B7"/>
    <w:rsid w:val="0061044E"/>
    <w:rsid w:val="00610A11"/>
    <w:rsid w:val="006118A8"/>
    <w:rsid w:val="00612DA0"/>
    <w:rsid w:val="00614337"/>
    <w:rsid w:val="00614CD3"/>
    <w:rsid w:val="00615198"/>
    <w:rsid w:val="0061547C"/>
    <w:rsid w:val="00616B3B"/>
    <w:rsid w:val="00617758"/>
    <w:rsid w:val="006216CE"/>
    <w:rsid w:val="00622217"/>
    <w:rsid w:val="006245FD"/>
    <w:rsid w:val="006247A2"/>
    <w:rsid w:val="00625052"/>
    <w:rsid w:val="0062532F"/>
    <w:rsid w:val="00625462"/>
    <w:rsid w:val="00625544"/>
    <w:rsid w:val="00626248"/>
    <w:rsid w:val="00626A13"/>
    <w:rsid w:val="006272D3"/>
    <w:rsid w:val="0062760F"/>
    <w:rsid w:val="00630B59"/>
    <w:rsid w:val="00630F73"/>
    <w:rsid w:val="0063202B"/>
    <w:rsid w:val="00632C71"/>
    <w:rsid w:val="00632CC4"/>
    <w:rsid w:val="00634AEE"/>
    <w:rsid w:val="006350DC"/>
    <w:rsid w:val="00635268"/>
    <w:rsid w:val="006352D0"/>
    <w:rsid w:val="00635354"/>
    <w:rsid w:val="006370C9"/>
    <w:rsid w:val="006371B1"/>
    <w:rsid w:val="0063770C"/>
    <w:rsid w:val="00637929"/>
    <w:rsid w:val="00637D18"/>
    <w:rsid w:val="00641A49"/>
    <w:rsid w:val="00641D51"/>
    <w:rsid w:val="00642761"/>
    <w:rsid w:val="00642D5E"/>
    <w:rsid w:val="00642F50"/>
    <w:rsid w:val="006435BF"/>
    <w:rsid w:val="0064497A"/>
    <w:rsid w:val="0064631B"/>
    <w:rsid w:val="00647F3C"/>
    <w:rsid w:val="00650546"/>
    <w:rsid w:val="00650778"/>
    <w:rsid w:val="00650F7D"/>
    <w:rsid w:val="0065104A"/>
    <w:rsid w:val="006514C3"/>
    <w:rsid w:val="006516BA"/>
    <w:rsid w:val="00651897"/>
    <w:rsid w:val="00651B91"/>
    <w:rsid w:val="00652367"/>
    <w:rsid w:val="00652B7E"/>
    <w:rsid w:val="00652BB4"/>
    <w:rsid w:val="00654C03"/>
    <w:rsid w:val="006558F4"/>
    <w:rsid w:val="00655E45"/>
    <w:rsid w:val="00655F12"/>
    <w:rsid w:val="006560C1"/>
    <w:rsid w:val="006566C7"/>
    <w:rsid w:val="00656931"/>
    <w:rsid w:val="00656BE6"/>
    <w:rsid w:val="00660295"/>
    <w:rsid w:val="006605FF"/>
    <w:rsid w:val="0066145A"/>
    <w:rsid w:val="00661964"/>
    <w:rsid w:val="0066245E"/>
    <w:rsid w:val="006625CF"/>
    <w:rsid w:val="00662B41"/>
    <w:rsid w:val="006638BB"/>
    <w:rsid w:val="00664087"/>
    <w:rsid w:val="0066409A"/>
    <w:rsid w:val="0066487B"/>
    <w:rsid w:val="00664D8C"/>
    <w:rsid w:val="0066533E"/>
    <w:rsid w:val="00665500"/>
    <w:rsid w:val="0066694F"/>
    <w:rsid w:val="00670E14"/>
    <w:rsid w:val="00671085"/>
    <w:rsid w:val="0067119D"/>
    <w:rsid w:val="00671F89"/>
    <w:rsid w:val="00672926"/>
    <w:rsid w:val="00672DF3"/>
    <w:rsid w:val="00674C80"/>
    <w:rsid w:val="00675743"/>
    <w:rsid w:val="00680427"/>
    <w:rsid w:val="006807CE"/>
    <w:rsid w:val="00680D01"/>
    <w:rsid w:val="00681027"/>
    <w:rsid w:val="00681251"/>
    <w:rsid w:val="006812F6"/>
    <w:rsid w:val="00681B47"/>
    <w:rsid w:val="00681B5B"/>
    <w:rsid w:val="00681D8E"/>
    <w:rsid w:val="00683466"/>
    <w:rsid w:val="006834F6"/>
    <w:rsid w:val="0068374A"/>
    <w:rsid w:val="00684495"/>
    <w:rsid w:val="00684640"/>
    <w:rsid w:val="006846CC"/>
    <w:rsid w:val="00684CB0"/>
    <w:rsid w:val="00684E4F"/>
    <w:rsid w:val="00684EA3"/>
    <w:rsid w:val="006850F4"/>
    <w:rsid w:val="0068588F"/>
    <w:rsid w:val="00685B8F"/>
    <w:rsid w:val="00686FA8"/>
    <w:rsid w:val="00687E51"/>
    <w:rsid w:val="00690CFC"/>
    <w:rsid w:val="006915B4"/>
    <w:rsid w:val="00691A07"/>
    <w:rsid w:val="00692EC1"/>
    <w:rsid w:val="0069327C"/>
    <w:rsid w:val="00694077"/>
    <w:rsid w:val="006947F2"/>
    <w:rsid w:val="0069507D"/>
    <w:rsid w:val="00696127"/>
    <w:rsid w:val="0069664A"/>
    <w:rsid w:val="006A130D"/>
    <w:rsid w:val="006A1836"/>
    <w:rsid w:val="006A19FD"/>
    <w:rsid w:val="006A317A"/>
    <w:rsid w:val="006A36EC"/>
    <w:rsid w:val="006A3DA4"/>
    <w:rsid w:val="006A4C94"/>
    <w:rsid w:val="006A4D5E"/>
    <w:rsid w:val="006A5003"/>
    <w:rsid w:val="006A66CC"/>
    <w:rsid w:val="006A6CA9"/>
    <w:rsid w:val="006A7658"/>
    <w:rsid w:val="006B0CE2"/>
    <w:rsid w:val="006B10BB"/>
    <w:rsid w:val="006B2A44"/>
    <w:rsid w:val="006B2F47"/>
    <w:rsid w:val="006B542F"/>
    <w:rsid w:val="006B5E17"/>
    <w:rsid w:val="006B75E7"/>
    <w:rsid w:val="006B7E4A"/>
    <w:rsid w:val="006C06B1"/>
    <w:rsid w:val="006C14D1"/>
    <w:rsid w:val="006C26F5"/>
    <w:rsid w:val="006C317B"/>
    <w:rsid w:val="006C4A9D"/>
    <w:rsid w:val="006C4FE7"/>
    <w:rsid w:val="006C5884"/>
    <w:rsid w:val="006C5F2A"/>
    <w:rsid w:val="006C61F8"/>
    <w:rsid w:val="006C671B"/>
    <w:rsid w:val="006C698E"/>
    <w:rsid w:val="006C6A73"/>
    <w:rsid w:val="006C73E8"/>
    <w:rsid w:val="006C7F65"/>
    <w:rsid w:val="006D04D4"/>
    <w:rsid w:val="006D0613"/>
    <w:rsid w:val="006D1154"/>
    <w:rsid w:val="006D13B2"/>
    <w:rsid w:val="006D1530"/>
    <w:rsid w:val="006D2C3F"/>
    <w:rsid w:val="006D3DFA"/>
    <w:rsid w:val="006D40B9"/>
    <w:rsid w:val="006D418D"/>
    <w:rsid w:val="006D41DA"/>
    <w:rsid w:val="006D4F82"/>
    <w:rsid w:val="006D5420"/>
    <w:rsid w:val="006D5781"/>
    <w:rsid w:val="006D63FA"/>
    <w:rsid w:val="006D6F34"/>
    <w:rsid w:val="006D702A"/>
    <w:rsid w:val="006D772B"/>
    <w:rsid w:val="006E02B2"/>
    <w:rsid w:val="006E09FF"/>
    <w:rsid w:val="006E13A2"/>
    <w:rsid w:val="006E25B5"/>
    <w:rsid w:val="006E25F8"/>
    <w:rsid w:val="006E28A8"/>
    <w:rsid w:val="006E3E18"/>
    <w:rsid w:val="006E4A0D"/>
    <w:rsid w:val="006E5418"/>
    <w:rsid w:val="006E5ED1"/>
    <w:rsid w:val="006E6F7A"/>
    <w:rsid w:val="006E721A"/>
    <w:rsid w:val="006E7C95"/>
    <w:rsid w:val="006F0790"/>
    <w:rsid w:val="006F0CED"/>
    <w:rsid w:val="006F19C5"/>
    <w:rsid w:val="006F22A0"/>
    <w:rsid w:val="006F22AA"/>
    <w:rsid w:val="006F26DB"/>
    <w:rsid w:val="006F2AA1"/>
    <w:rsid w:val="006F2CEB"/>
    <w:rsid w:val="006F338A"/>
    <w:rsid w:val="006F3412"/>
    <w:rsid w:val="006F3653"/>
    <w:rsid w:val="006F36A5"/>
    <w:rsid w:val="006F399B"/>
    <w:rsid w:val="006F4C50"/>
    <w:rsid w:val="006F5225"/>
    <w:rsid w:val="006F5841"/>
    <w:rsid w:val="006F5E49"/>
    <w:rsid w:val="007013A4"/>
    <w:rsid w:val="007015F8"/>
    <w:rsid w:val="00702DBE"/>
    <w:rsid w:val="007031EF"/>
    <w:rsid w:val="00703B8B"/>
    <w:rsid w:val="00703D7E"/>
    <w:rsid w:val="007053C5"/>
    <w:rsid w:val="00705FB8"/>
    <w:rsid w:val="0070646B"/>
    <w:rsid w:val="00706B6D"/>
    <w:rsid w:val="00706C53"/>
    <w:rsid w:val="00706E67"/>
    <w:rsid w:val="0070707D"/>
    <w:rsid w:val="00707BDE"/>
    <w:rsid w:val="007100E9"/>
    <w:rsid w:val="00712CCB"/>
    <w:rsid w:val="00712F0A"/>
    <w:rsid w:val="00713096"/>
    <w:rsid w:val="00713154"/>
    <w:rsid w:val="00714D04"/>
    <w:rsid w:val="00714EDE"/>
    <w:rsid w:val="00716D0F"/>
    <w:rsid w:val="0071767E"/>
    <w:rsid w:val="00717A47"/>
    <w:rsid w:val="00717BCE"/>
    <w:rsid w:val="00717FE5"/>
    <w:rsid w:val="007200AB"/>
    <w:rsid w:val="0072022C"/>
    <w:rsid w:val="007205AD"/>
    <w:rsid w:val="0072061F"/>
    <w:rsid w:val="00722DDA"/>
    <w:rsid w:val="007249A9"/>
    <w:rsid w:val="00725179"/>
    <w:rsid w:val="007255CF"/>
    <w:rsid w:val="007262CD"/>
    <w:rsid w:val="00727041"/>
    <w:rsid w:val="0073013B"/>
    <w:rsid w:val="0073095A"/>
    <w:rsid w:val="007311A5"/>
    <w:rsid w:val="00731622"/>
    <w:rsid w:val="007316DB"/>
    <w:rsid w:val="00732096"/>
    <w:rsid w:val="00732141"/>
    <w:rsid w:val="00732CC0"/>
    <w:rsid w:val="0073364D"/>
    <w:rsid w:val="0073398F"/>
    <w:rsid w:val="00733F0C"/>
    <w:rsid w:val="00734995"/>
    <w:rsid w:val="0073539F"/>
    <w:rsid w:val="007359E6"/>
    <w:rsid w:val="00735A4B"/>
    <w:rsid w:val="00735EDA"/>
    <w:rsid w:val="007374B9"/>
    <w:rsid w:val="0074077E"/>
    <w:rsid w:val="00740F96"/>
    <w:rsid w:val="00741A36"/>
    <w:rsid w:val="00743246"/>
    <w:rsid w:val="00743D98"/>
    <w:rsid w:val="0074406A"/>
    <w:rsid w:val="007450F3"/>
    <w:rsid w:val="0074569B"/>
    <w:rsid w:val="00745D9A"/>
    <w:rsid w:val="007467AE"/>
    <w:rsid w:val="00746F56"/>
    <w:rsid w:val="00747C33"/>
    <w:rsid w:val="00750A37"/>
    <w:rsid w:val="00751082"/>
    <w:rsid w:val="007520DF"/>
    <w:rsid w:val="00752983"/>
    <w:rsid w:val="00752B97"/>
    <w:rsid w:val="007530C3"/>
    <w:rsid w:val="007535B9"/>
    <w:rsid w:val="00753E9C"/>
    <w:rsid w:val="007540F4"/>
    <w:rsid w:val="00754585"/>
    <w:rsid w:val="00754B17"/>
    <w:rsid w:val="00754C36"/>
    <w:rsid w:val="00755E64"/>
    <w:rsid w:val="00756081"/>
    <w:rsid w:val="00756F40"/>
    <w:rsid w:val="0075749E"/>
    <w:rsid w:val="0075768C"/>
    <w:rsid w:val="007577E0"/>
    <w:rsid w:val="00757849"/>
    <w:rsid w:val="00760946"/>
    <w:rsid w:val="00760A27"/>
    <w:rsid w:val="00760A55"/>
    <w:rsid w:val="00761ECE"/>
    <w:rsid w:val="007630F5"/>
    <w:rsid w:val="007635B0"/>
    <w:rsid w:val="00764234"/>
    <w:rsid w:val="007646FA"/>
    <w:rsid w:val="007647C3"/>
    <w:rsid w:val="00764A50"/>
    <w:rsid w:val="00764D6D"/>
    <w:rsid w:val="00764EC4"/>
    <w:rsid w:val="00766016"/>
    <w:rsid w:val="00766695"/>
    <w:rsid w:val="00766B0F"/>
    <w:rsid w:val="00767F0B"/>
    <w:rsid w:val="0077022A"/>
    <w:rsid w:val="00770DE7"/>
    <w:rsid w:val="00772802"/>
    <w:rsid w:val="0077474C"/>
    <w:rsid w:val="00774A03"/>
    <w:rsid w:val="00776F18"/>
    <w:rsid w:val="007777AD"/>
    <w:rsid w:val="0077791C"/>
    <w:rsid w:val="007804CC"/>
    <w:rsid w:val="007811AF"/>
    <w:rsid w:val="007815DD"/>
    <w:rsid w:val="00781DD5"/>
    <w:rsid w:val="00782201"/>
    <w:rsid w:val="00784E13"/>
    <w:rsid w:val="0078584C"/>
    <w:rsid w:val="00786C82"/>
    <w:rsid w:val="00786E07"/>
    <w:rsid w:val="0079021E"/>
    <w:rsid w:val="00790694"/>
    <w:rsid w:val="00791609"/>
    <w:rsid w:val="007916CB"/>
    <w:rsid w:val="0079200E"/>
    <w:rsid w:val="00792847"/>
    <w:rsid w:val="00793078"/>
    <w:rsid w:val="00793DD0"/>
    <w:rsid w:val="007947BB"/>
    <w:rsid w:val="00795308"/>
    <w:rsid w:val="0079558D"/>
    <w:rsid w:val="0079558E"/>
    <w:rsid w:val="00795646"/>
    <w:rsid w:val="00795EBD"/>
    <w:rsid w:val="00795F36"/>
    <w:rsid w:val="007969C5"/>
    <w:rsid w:val="00796E49"/>
    <w:rsid w:val="007A0249"/>
    <w:rsid w:val="007A0827"/>
    <w:rsid w:val="007A0AA9"/>
    <w:rsid w:val="007A16EE"/>
    <w:rsid w:val="007A1D1E"/>
    <w:rsid w:val="007A2CD3"/>
    <w:rsid w:val="007A3476"/>
    <w:rsid w:val="007A37E6"/>
    <w:rsid w:val="007A3A70"/>
    <w:rsid w:val="007A3ED5"/>
    <w:rsid w:val="007A41F5"/>
    <w:rsid w:val="007A43FC"/>
    <w:rsid w:val="007A6153"/>
    <w:rsid w:val="007A6D89"/>
    <w:rsid w:val="007A7338"/>
    <w:rsid w:val="007A75EA"/>
    <w:rsid w:val="007A76E6"/>
    <w:rsid w:val="007A7A13"/>
    <w:rsid w:val="007B010F"/>
    <w:rsid w:val="007B1346"/>
    <w:rsid w:val="007B21C2"/>
    <w:rsid w:val="007B3296"/>
    <w:rsid w:val="007B376B"/>
    <w:rsid w:val="007B45A4"/>
    <w:rsid w:val="007B4BA9"/>
    <w:rsid w:val="007B599D"/>
    <w:rsid w:val="007B5B85"/>
    <w:rsid w:val="007B5F58"/>
    <w:rsid w:val="007B625B"/>
    <w:rsid w:val="007B6883"/>
    <w:rsid w:val="007B6F80"/>
    <w:rsid w:val="007B716A"/>
    <w:rsid w:val="007B74AE"/>
    <w:rsid w:val="007B7626"/>
    <w:rsid w:val="007C00B1"/>
    <w:rsid w:val="007C040F"/>
    <w:rsid w:val="007C0968"/>
    <w:rsid w:val="007C1F0E"/>
    <w:rsid w:val="007C265A"/>
    <w:rsid w:val="007C2B98"/>
    <w:rsid w:val="007C2BFD"/>
    <w:rsid w:val="007C3197"/>
    <w:rsid w:val="007C4AE2"/>
    <w:rsid w:val="007C51B1"/>
    <w:rsid w:val="007C5700"/>
    <w:rsid w:val="007C790E"/>
    <w:rsid w:val="007D06FB"/>
    <w:rsid w:val="007D0A47"/>
    <w:rsid w:val="007D136B"/>
    <w:rsid w:val="007D138B"/>
    <w:rsid w:val="007D249B"/>
    <w:rsid w:val="007D2575"/>
    <w:rsid w:val="007D2A86"/>
    <w:rsid w:val="007D2AEA"/>
    <w:rsid w:val="007D46DB"/>
    <w:rsid w:val="007D6DA1"/>
    <w:rsid w:val="007D716E"/>
    <w:rsid w:val="007D7193"/>
    <w:rsid w:val="007D7538"/>
    <w:rsid w:val="007E0177"/>
    <w:rsid w:val="007E117D"/>
    <w:rsid w:val="007E175F"/>
    <w:rsid w:val="007E1DBD"/>
    <w:rsid w:val="007E1E25"/>
    <w:rsid w:val="007E24E9"/>
    <w:rsid w:val="007E2FE4"/>
    <w:rsid w:val="007E32D3"/>
    <w:rsid w:val="007E34B5"/>
    <w:rsid w:val="007E363C"/>
    <w:rsid w:val="007E3964"/>
    <w:rsid w:val="007E3E4A"/>
    <w:rsid w:val="007E50DE"/>
    <w:rsid w:val="007E5BBE"/>
    <w:rsid w:val="007E5E6C"/>
    <w:rsid w:val="007E6F99"/>
    <w:rsid w:val="007E71B9"/>
    <w:rsid w:val="007E7C86"/>
    <w:rsid w:val="007F0236"/>
    <w:rsid w:val="007F07DC"/>
    <w:rsid w:val="007F09D2"/>
    <w:rsid w:val="007F0A08"/>
    <w:rsid w:val="007F0EC5"/>
    <w:rsid w:val="007F190F"/>
    <w:rsid w:val="007F1C1A"/>
    <w:rsid w:val="007F24B3"/>
    <w:rsid w:val="007F378E"/>
    <w:rsid w:val="007F3EA3"/>
    <w:rsid w:val="007F403D"/>
    <w:rsid w:val="007F4B8E"/>
    <w:rsid w:val="007F4C66"/>
    <w:rsid w:val="007F5A60"/>
    <w:rsid w:val="007F5C27"/>
    <w:rsid w:val="007F73DF"/>
    <w:rsid w:val="007F76FD"/>
    <w:rsid w:val="00800409"/>
    <w:rsid w:val="00801412"/>
    <w:rsid w:val="00801454"/>
    <w:rsid w:val="0080146A"/>
    <w:rsid w:val="008014B0"/>
    <w:rsid w:val="00801E5E"/>
    <w:rsid w:val="00801E65"/>
    <w:rsid w:val="00802672"/>
    <w:rsid w:val="00804195"/>
    <w:rsid w:val="00804871"/>
    <w:rsid w:val="00804B46"/>
    <w:rsid w:val="008052D6"/>
    <w:rsid w:val="008057E4"/>
    <w:rsid w:val="00807340"/>
    <w:rsid w:val="008106CD"/>
    <w:rsid w:val="00810930"/>
    <w:rsid w:val="00810970"/>
    <w:rsid w:val="00812560"/>
    <w:rsid w:val="00812E05"/>
    <w:rsid w:val="008147B1"/>
    <w:rsid w:val="008148A9"/>
    <w:rsid w:val="00815DF8"/>
    <w:rsid w:val="00815F61"/>
    <w:rsid w:val="00816A59"/>
    <w:rsid w:val="00816C9C"/>
    <w:rsid w:val="00817EBF"/>
    <w:rsid w:val="0082026E"/>
    <w:rsid w:val="00821FCB"/>
    <w:rsid w:val="00823D02"/>
    <w:rsid w:val="0082413C"/>
    <w:rsid w:val="00824B43"/>
    <w:rsid w:val="00824CB7"/>
    <w:rsid w:val="008250E4"/>
    <w:rsid w:val="00825151"/>
    <w:rsid w:val="008257E1"/>
    <w:rsid w:val="0083002D"/>
    <w:rsid w:val="008300DD"/>
    <w:rsid w:val="0083180C"/>
    <w:rsid w:val="0083266F"/>
    <w:rsid w:val="00832891"/>
    <w:rsid w:val="00832FC7"/>
    <w:rsid w:val="008332DA"/>
    <w:rsid w:val="00833448"/>
    <w:rsid w:val="008337C6"/>
    <w:rsid w:val="00833C9F"/>
    <w:rsid w:val="00834531"/>
    <w:rsid w:val="008356C3"/>
    <w:rsid w:val="00835F31"/>
    <w:rsid w:val="008364BB"/>
    <w:rsid w:val="0083670E"/>
    <w:rsid w:val="00836B04"/>
    <w:rsid w:val="00836FFF"/>
    <w:rsid w:val="00837810"/>
    <w:rsid w:val="0083796E"/>
    <w:rsid w:val="0084054E"/>
    <w:rsid w:val="00840B61"/>
    <w:rsid w:val="0084138F"/>
    <w:rsid w:val="00841824"/>
    <w:rsid w:val="008427D5"/>
    <w:rsid w:val="00842E83"/>
    <w:rsid w:val="008437F2"/>
    <w:rsid w:val="00843BA9"/>
    <w:rsid w:val="008447B7"/>
    <w:rsid w:val="00844F0D"/>
    <w:rsid w:val="008454DC"/>
    <w:rsid w:val="00846645"/>
    <w:rsid w:val="00846C6E"/>
    <w:rsid w:val="00850384"/>
    <w:rsid w:val="0085082B"/>
    <w:rsid w:val="00850E0A"/>
    <w:rsid w:val="008516E7"/>
    <w:rsid w:val="0085286B"/>
    <w:rsid w:val="00852CFE"/>
    <w:rsid w:val="008532ED"/>
    <w:rsid w:val="00853633"/>
    <w:rsid w:val="00853912"/>
    <w:rsid w:val="008543D9"/>
    <w:rsid w:val="00854464"/>
    <w:rsid w:val="00855C64"/>
    <w:rsid w:val="00856B04"/>
    <w:rsid w:val="00857173"/>
    <w:rsid w:val="0085753D"/>
    <w:rsid w:val="008602BC"/>
    <w:rsid w:val="00861603"/>
    <w:rsid w:val="008635DE"/>
    <w:rsid w:val="00863788"/>
    <w:rsid w:val="00865224"/>
    <w:rsid w:val="008655CC"/>
    <w:rsid w:val="0086593F"/>
    <w:rsid w:val="00866A04"/>
    <w:rsid w:val="00866AD7"/>
    <w:rsid w:val="00866C5D"/>
    <w:rsid w:val="00867AC7"/>
    <w:rsid w:val="00867D7D"/>
    <w:rsid w:val="00870965"/>
    <w:rsid w:val="008709F3"/>
    <w:rsid w:val="00870E39"/>
    <w:rsid w:val="00871A87"/>
    <w:rsid w:val="008720E1"/>
    <w:rsid w:val="008722FA"/>
    <w:rsid w:val="008726CB"/>
    <w:rsid w:val="00872C6C"/>
    <w:rsid w:val="00872E9F"/>
    <w:rsid w:val="0087398A"/>
    <w:rsid w:val="00873A50"/>
    <w:rsid w:val="00873CF2"/>
    <w:rsid w:val="00873FF1"/>
    <w:rsid w:val="008741C5"/>
    <w:rsid w:val="00874CDE"/>
    <w:rsid w:val="008753F3"/>
    <w:rsid w:val="0087550C"/>
    <w:rsid w:val="00875D69"/>
    <w:rsid w:val="00876744"/>
    <w:rsid w:val="0087683F"/>
    <w:rsid w:val="0088019D"/>
    <w:rsid w:val="00880825"/>
    <w:rsid w:val="0088122B"/>
    <w:rsid w:val="00881441"/>
    <w:rsid w:val="00881E2A"/>
    <w:rsid w:val="00881E82"/>
    <w:rsid w:val="008826B5"/>
    <w:rsid w:val="00884E66"/>
    <w:rsid w:val="00884F99"/>
    <w:rsid w:val="008851CF"/>
    <w:rsid w:val="00885258"/>
    <w:rsid w:val="00885400"/>
    <w:rsid w:val="00885C7D"/>
    <w:rsid w:val="00886D2E"/>
    <w:rsid w:val="00886DF7"/>
    <w:rsid w:val="00886F79"/>
    <w:rsid w:val="00887AFE"/>
    <w:rsid w:val="00890123"/>
    <w:rsid w:val="0089033C"/>
    <w:rsid w:val="00890483"/>
    <w:rsid w:val="008906BB"/>
    <w:rsid w:val="008923BB"/>
    <w:rsid w:val="00892B0C"/>
    <w:rsid w:val="00892FF2"/>
    <w:rsid w:val="00893252"/>
    <w:rsid w:val="00893E36"/>
    <w:rsid w:val="0089481D"/>
    <w:rsid w:val="0089646D"/>
    <w:rsid w:val="00896EA3"/>
    <w:rsid w:val="008976AC"/>
    <w:rsid w:val="008976E9"/>
    <w:rsid w:val="008A023B"/>
    <w:rsid w:val="008A0E67"/>
    <w:rsid w:val="008A0E68"/>
    <w:rsid w:val="008A12AB"/>
    <w:rsid w:val="008A18FB"/>
    <w:rsid w:val="008A2BC2"/>
    <w:rsid w:val="008A2BEB"/>
    <w:rsid w:val="008A4A9A"/>
    <w:rsid w:val="008A4FA0"/>
    <w:rsid w:val="008A6514"/>
    <w:rsid w:val="008A6FA3"/>
    <w:rsid w:val="008B01A6"/>
    <w:rsid w:val="008B0AC0"/>
    <w:rsid w:val="008B1602"/>
    <w:rsid w:val="008B2156"/>
    <w:rsid w:val="008B21E4"/>
    <w:rsid w:val="008B2AE0"/>
    <w:rsid w:val="008B36AB"/>
    <w:rsid w:val="008B39B3"/>
    <w:rsid w:val="008B39D4"/>
    <w:rsid w:val="008B3C17"/>
    <w:rsid w:val="008B497D"/>
    <w:rsid w:val="008B6278"/>
    <w:rsid w:val="008B65C5"/>
    <w:rsid w:val="008B6675"/>
    <w:rsid w:val="008B6C83"/>
    <w:rsid w:val="008B6E96"/>
    <w:rsid w:val="008B78C3"/>
    <w:rsid w:val="008C0628"/>
    <w:rsid w:val="008C19EA"/>
    <w:rsid w:val="008C1C43"/>
    <w:rsid w:val="008C1EF4"/>
    <w:rsid w:val="008C2ADC"/>
    <w:rsid w:val="008C31CB"/>
    <w:rsid w:val="008C35A2"/>
    <w:rsid w:val="008C3AB4"/>
    <w:rsid w:val="008C4119"/>
    <w:rsid w:val="008C4B31"/>
    <w:rsid w:val="008C55C0"/>
    <w:rsid w:val="008C56B9"/>
    <w:rsid w:val="008C644E"/>
    <w:rsid w:val="008C665F"/>
    <w:rsid w:val="008C6BB9"/>
    <w:rsid w:val="008C6C45"/>
    <w:rsid w:val="008C6EBD"/>
    <w:rsid w:val="008C721F"/>
    <w:rsid w:val="008D04DB"/>
    <w:rsid w:val="008D13A6"/>
    <w:rsid w:val="008D1681"/>
    <w:rsid w:val="008D1CE7"/>
    <w:rsid w:val="008D1D30"/>
    <w:rsid w:val="008D2474"/>
    <w:rsid w:val="008D24B7"/>
    <w:rsid w:val="008D332E"/>
    <w:rsid w:val="008D3CFE"/>
    <w:rsid w:val="008D4003"/>
    <w:rsid w:val="008D407E"/>
    <w:rsid w:val="008D4EFA"/>
    <w:rsid w:val="008D5704"/>
    <w:rsid w:val="008D637E"/>
    <w:rsid w:val="008D69A3"/>
    <w:rsid w:val="008D6A68"/>
    <w:rsid w:val="008D7A1E"/>
    <w:rsid w:val="008D7E12"/>
    <w:rsid w:val="008E0A54"/>
    <w:rsid w:val="008E0B3E"/>
    <w:rsid w:val="008E0E5A"/>
    <w:rsid w:val="008E15F6"/>
    <w:rsid w:val="008E1F5C"/>
    <w:rsid w:val="008E23DB"/>
    <w:rsid w:val="008E2580"/>
    <w:rsid w:val="008E28A1"/>
    <w:rsid w:val="008E4E3F"/>
    <w:rsid w:val="008E5898"/>
    <w:rsid w:val="008E69DD"/>
    <w:rsid w:val="008E732A"/>
    <w:rsid w:val="008E744C"/>
    <w:rsid w:val="008E76E1"/>
    <w:rsid w:val="008E770D"/>
    <w:rsid w:val="008E79A6"/>
    <w:rsid w:val="008F0277"/>
    <w:rsid w:val="008F0AD1"/>
    <w:rsid w:val="008F1EC6"/>
    <w:rsid w:val="008F2071"/>
    <w:rsid w:val="008F25E4"/>
    <w:rsid w:val="008F2A0D"/>
    <w:rsid w:val="008F32B0"/>
    <w:rsid w:val="008F3471"/>
    <w:rsid w:val="008F35BD"/>
    <w:rsid w:val="008F4093"/>
    <w:rsid w:val="008F4607"/>
    <w:rsid w:val="008F5EA9"/>
    <w:rsid w:val="008F675E"/>
    <w:rsid w:val="008F6B7D"/>
    <w:rsid w:val="008F6F83"/>
    <w:rsid w:val="008F78EC"/>
    <w:rsid w:val="00900988"/>
    <w:rsid w:val="00901141"/>
    <w:rsid w:val="009017E3"/>
    <w:rsid w:val="009019AD"/>
    <w:rsid w:val="00901D14"/>
    <w:rsid w:val="009020A3"/>
    <w:rsid w:val="00902632"/>
    <w:rsid w:val="009032B9"/>
    <w:rsid w:val="00904582"/>
    <w:rsid w:val="009069FF"/>
    <w:rsid w:val="00907970"/>
    <w:rsid w:val="00907E01"/>
    <w:rsid w:val="00907ECA"/>
    <w:rsid w:val="00911373"/>
    <w:rsid w:val="009116DD"/>
    <w:rsid w:val="00911DD2"/>
    <w:rsid w:val="009128C2"/>
    <w:rsid w:val="00913F63"/>
    <w:rsid w:val="009153AC"/>
    <w:rsid w:val="009156BD"/>
    <w:rsid w:val="0091588A"/>
    <w:rsid w:val="00915933"/>
    <w:rsid w:val="009168E3"/>
    <w:rsid w:val="00916F1B"/>
    <w:rsid w:val="00917D45"/>
    <w:rsid w:val="00921B67"/>
    <w:rsid w:val="00922440"/>
    <w:rsid w:val="00922914"/>
    <w:rsid w:val="0092657C"/>
    <w:rsid w:val="00926F2E"/>
    <w:rsid w:val="00926FCF"/>
    <w:rsid w:val="00927AB7"/>
    <w:rsid w:val="00931A72"/>
    <w:rsid w:val="00931C16"/>
    <w:rsid w:val="00931D22"/>
    <w:rsid w:val="00932021"/>
    <w:rsid w:val="0093389A"/>
    <w:rsid w:val="00934A3E"/>
    <w:rsid w:val="00935974"/>
    <w:rsid w:val="009363A1"/>
    <w:rsid w:val="009367DF"/>
    <w:rsid w:val="009368AD"/>
    <w:rsid w:val="0094083E"/>
    <w:rsid w:val="009408FE"/>
    <w:rsid w:val="00940B38"/>
    <w:rsid w:val="00941772"/>
    <w:rsid w:val="00941A3D"/>
    <w:rsid w:val="00941DEA"/>
    <w:rsid w:val="00941FF2"/>
    <w:rsid w:val="009424CB"/>
    <w:rsid w:val="00942C29"/>
    <w:rsid w:val="00942C59"/>
    <w:rsid w:val="00942EA3"/>
    <w:rsid w:val="009431A1"/>
    <w:rsid w:val="0094339C"/>
    <w:rsid w:val="00943499"/>
    <w:rsid w:val="009436FA"/>
    <w:rsid w:val="00944747"/>
    <w:rsid w:val="0094475D"/>
    <w:rsid w:val="009449FF"/>
    <w:rsid w:val="00944B1C"/>
    <w:rsid w:val="00945EB1"/>
    <w:rsid w:val="009469CF"/>
    <w:rsid w:val="009469E1"/>
    <w:rsid w:val="009500A5"/>
    <w:rsid w:val="00950572"/>
    <w:rsid w:val="009508FE"/>
    <w:rsid w:val="00951DD1"/>
    <w:rsid w:val="00951E3C"/>
    <w:rsid w:val="00951E46"/>
    <w:rsid w:val="00952ABB"/>
    <w:rsid w:val="00953670"/>
    <w:rsid w:val="0095560F"/>
    <w:rsid w:val="009564F0"/>
    <w:rsid w:val="00956E72"/>
    <w:rsid w:val="00957082"/>
    <w:rsid w:val="00957623"/>
    <w:rsid w:val="00960A16"/>
    <w:rsid w:val="009614BA"/>
    <w:rsid w:val="00961601"/>
    <w:rsid w:val="0096200F"/>
    <w:rsid w:val="00962BFD"/>
    <w:rsid w:val="00964434"/>
    <w:rsid w:val="00966F85"/>
    <w:rsid w:val="009672EA"/>
    <w:rsid w:val="00967410"/>
    <w:rsid w:val="009676DF"/>
    <w:rsid w:val="0096776E"/>
    <w:rsid w:val="00967820"/>
    <w:rsid w:val="00967D3C"/>
    <w:rsid w:val="009704F0"/>
    <w:rsid w:val="00970874"/>
    <w:rsid w:val="009708E3"/>
    <w:rsid w:val="009714B1"/>
    <w:rsid w:val="009720FA"/>
    <w:rsid w:val="00972558"/>
    <w:rsid w:val="009732A7"/>
    <w:rsid w:val="00973612"/>
    <w:rsid w:val="009736F6"/>
    <w:rsid w:val="00974514"/>
    <w:rsid w:val="009762CD"/>
    <w:rsid w:val="009769BA"/>
    <w:rsid w:val="00977573"/>
    <w:rsid w:val="0097768B"/>
    <w:rsid w:val="0097798E"/>
    <w:rsid w:val="00977A32"/>
    <w:rsid w:val="009802B6"/>
    <w:rsid w:val="009803B0"/>
    <w:rsid w:val="0098094E"/>
    <w:rsid w:val="00980EEB"/>
    <w:rsid w:val="009815BA"/>
    <w:rsid w:val="00981F1E"/>
    <w:rsid w:val="00981FC1"/>
    <w:rsid w:val="0098279B"/>
    <w:rsid w:val="009827FA"/>
    <w:rsid w:val="00982AB6"/>
    <w:rsid w:val="009834B0"/>
    <w:rsid w:val="00984795"/>
    <w:rsid w:val="00984FA5"/>
    <w:rsid w:val="0098567A"/>
    <w:rsid w:val="00987721"/>
    <w:rsid w:val="00990636"/>
    <w:rsid w:val="009928E7"/>
    <w:rsid w:val="00993534"/>
    <w:rsid w:val="0099397B"/>
    <w:rsid w:val="00994553"/>
    <w:rsid w:val="00994687"/>
    <w:rsid w:val="00994B26"/>
    <w:rsid w:val="00994F61"/>
    <w:rsid w:val="009951E5"/>
    <w:rsid w:val="0099520B"/>
    <w:rsid w:val="00995E52"/>
    <w:rsid w:val="00996615"/>
    <w:rsid w:val="009967F1"/>
    <w:rsid w:val="00996933"/>
    <w:rsid w:val="00996BF8"/>
    <w:rsid w:val="00996FC3"/>
    <w:rsid w:val="009A1078"/>
    <w:rsid w:val="009A27B1"/>
    <w:rsid w:val="009A336F"/>
    <w:rsid w:val="009A426D"/>
    <w:rsid w:val="009A4E61"/>
    <w:rsid w:val="009A6579"/>
    <w:rsid w:val="009A6BC5"/>
    <w:rsid w:val="009A6F8E"/>
    <w:rsid w:val="009B169D"/>
    <w:rsid w:val="009B2713"/>
    <w:rsid w:val="009B3E81"/>
    <w:rsid w:val="009B44D8"/>
    <w:rsid w:val="009B4D7B"/>
    <w:rsid w:val="009B5181"/>
    <w:rsid w:val="009B5533"/>
    <w:rsid w:val="009B566F"/>
    <w:rsid w:val="009B5739"/>
    <w:rsid w:val="009B6351"/>
    <w:rsid w:val="009B665A"/>
    <w:rsid w:val="009B6989"/>
    <w:rsid w:val="009C0C53"/>
    <w:rsid w:val="009C1141"/>
    <w:rsid w:val="009C1674"/>
    <w:rsid w:val="009C1CE2"/>
    <w:rsid w:val="009C2904"/>
    <w:rsid w:val="009C3AC7"/>
    <w:rsid w:val="009C3DA3"/>
    <w:rsid w:val="009C5131"/>
    <w:rsid w:val="009C575B"/>
    <w:rsid w:val="009C720C"/>
    <w:rsid w:val="009C7816"/>
    <w:rsid w:val="009D0009"/>
    <w:rsid w:val="009D107C"/>
    <w:rsid w:val="009D2803"/>
    <w:rsid w:val="009D462C"/>
    <w:rsid w:val="009D4BFE"/>
    <w:rsid w:val="009D585C"/>
    <w:rsid w:val="009D66D5"/>
    <w:rsid w:val="009D6DD0"/>
    <w:rsid w:val="009D716C"/>
    <w:rsid w:val="009D7681"/>
    <w:rsid w:val="009E0183"/>
    <w:rsid w:val="009E2DBC"/>
    <w:rsid w:val="009E4339"/>
    <w:rsid w:val="009E5301"/>
    <w:rsid w:val="009E6152"/>
    <w:rsid w:val="009E71BB"/>
    <w:rsid w:val="009E76EA"/>
    <w:rsid w:val="009E7D47"/>
    <w:rsid w:val="009E7DD5"/>
    <w:rsid w:val="009F0822"/>
    <w:rsid w:val="009F1585"/>
    <w:rsid w:val="009F164A"/>
    <w:rsid w:val="009F1CE5"/>
    <w:rsid w:val="009F24EE"/>
    <w:rsid w:val="009F2800"/>
    <w:rsid w:val="009F2BE2"/>
    <w:rsid w:val="009F3DB0"/>
    <w:rsid w:val="009F4212"/>
    <w:rsid w:val="009F42FE"/>
    <w:rsid w:val="009F4347"/>
    <w:rsid w:val="009F4E98"/>
    <w:rsid w:val="009F7F30"/>
    <w:rsid w:val="00A00D93"/>
    <w:rsid w:val="00A00DDD"/>
    <w:rsid w:val="00A0140D"/>
    <w:rsid w:val="00A01F00"/>
    <w:rsid w:val="00A03822"/>
    <w:rsid w:val="00A03BB7"/>
    <w:rsid w:val="00A04E9D"/>
    <w:rsid w:val="00A052C5"/>
    <w:rsid w:val="00A0537C"/>
    <w:rsid w:val="00A05EBD"/>
    <w:rsid w:val="00A05F11"/>
    <w:rsid w:val="00A06104"/>
    <w:rsid w:val="00A102D1"/>
    <w:rsid w:val="00A1087A"/>
    <w:rsid w:val="00A10A7F"/>
    <w:rsid w:val="00A10EFF"/>
    <w:rsid w:val="00A1234F"/>
    <w:rsid w:val="00A1401F"/>
    <w:rsid w:val="00A1428B"/>
    <w:rsid w:val="00A14B46"/>
    <w:rsid w:val="00A14D41"/>
    <w:rsid w:val="00A15713"/>
    <w:rsid w:val="00A15A0F"/>
    <w:rsid w:val="00A166FC"/>
    <w:rsid w:val="00A1684E"/>
    <w:rsid w:val="00A1710F"/>
    <w:rsid w:val="00A20633"/>
    <w:rsid w:val="00A20896"/>
    <w:rsid w:val="00A22A2B"/>
    <w:rsid w:val="00A22E41"/>
    <w:rsid w:val="00A235C6"/>
    <w:rsid w:val="00A23764"/>
    <w:rsid w:val="00A24523"/>
    <w:rsid w:val="00A2515A"/>
    <w:rsid w:val="00A25775"/>
    <w:rsid w:val="00A27180"/>
    <w:rsid w:val="00A271A1"/>
    <w:rsid w:val="00A2797A"/>
    <w:rsid w:val="00A302E4"/>
    <w:rsid w:val="00A311DF"/>
    <w:rsid w:val="00A330C9"/>
    <w:rsid w:val="00A337EF"/>
    <w:rsid w:val="00A352B3"/>
    <w:rsid w:val="00A35818"/>
    <w:rsid w:val="00A35914"/>
    <w:rsid w:val="00A36BCA"/>
    <w:rsid w:val="00A37129"/>
    <w:rsid w:val="00A401D5"/>
    <w:rsid w:val="00A40A77"/>
    <w:rsid w:val="00A41B75"/>
    <w:rsid w:val="00A43F0D"/>
    <w:rsid w:val="00A45020"/>
    <w:rsid w:val="00A458D9"/>
    <w:rsid w:val="00A462F2"/>
    <w:rsid w:val="00A4676B"/>
    <w:rsid w:val="00A475BD"/>
    <w:rsid w:val="00A47DAA"/>
    <w:rsid w:val="00A47EC0"/>
    <w:rsid w:val="00A50350"/>
    <w:rsid w:val="00A5078B"/>
    <w:rsid w:val="00A50FBC"/>
    <w:rsid w:val="00A51078"/>
    <w:rsid w:val="00A52C11"/>
    <w:rsid w:val="00A5340B"/>
    <w:rsid w:val="00A5370F"/>
    <w:rsid w:val="00A538B0"/>
    <w:rsid w:val="00A5425A"/>
    <w:rsid w:val="00A55DF0"/>
    <w:rsid w:val="00A5606E"/>
    <w:rsid w:val="00A565D1"/>
    <w:rsid w:val="00A569D8"/>
    <w:rsid w:val="00A56AFE"/>
    <w:rsid w:val="00A5754B"/>
    <w:rsid w:val="00A57A4E"/>
    <w:rsid w:val="00A60053"/>
    <w:rsid w:val="00A605BC"/>
    <w:rsid w:val="00A6082F"/>
    <w:rsid w:val="00A61560"/>
    <w:rsid w:val="00A618E2"/>
    <w:rsid w:val="00A61B90"/>
    <w:rsid w:val="00A61BB5"/>
    <w:rsid w:val="00A61D97"/>
    <w:rsid w:val="00A61FF8"/>
    <w:rsid w:val="00A62886"/>
    <w:rsid w:val="00A63C63"/>
    <w:rsid w:val="00A63E29"/>
    <w:rsid w:val="00A6428F"/>
    <w:rsid w:val="00A643B7"/>
    <w:rsid w:val="00A6514E"/>
    <w:rsid w:val="00A65AFA"/>
    <w:rsid w:val="00A6637A"/>
    <w:rsid w:val="00A66678"/>
    <w:rsid w:val="00A66898"/>
    <w:rsid w:val="00A66D63"/>
    <w:rsid w:val="00A67B0F"/>
    <w:rsid w:val="00A67D0B"/>
    <w:rsid w:val="00A7347E"/>
    <w:rsid w:val="00A75280"/>
    <w:rsid w:val="00A76229"/>
    <w:rsid w:val="00A764A8"/>
    <w:rsid w:val="00A769A3"/>
    <w:rsid w:val="00A76AA6"/>
    <w:rsid w:val="00A776D0"/>
    <w:rsid w:val="00A839D3"/>
    <w:rsid w:val="00A83BF6"/>
    <w:rsid w:val="00A8408B"/>
    <w:rsid w:val="00A84DEC"/>
    <w:rsid w:val="00A851B1"/>
    <w:rsid w:val="00A856D2"/>
    <w:rsid w:val="00A85DB9"/>
    <w:rsid w:val="00A862B2"/>
    <w:rsid w:val="00A8630B"/>
    <w:rsid w:val="00A87166"/>
    <w:rsid w:val="00A87DC0"/>
    <w:rsid w:val="00A87F05"/>
    <w:rsid w:val="00A9049E"/>
    <w:rsid w:val="00A90C15"/>
    <w:rsid w:val="00A91AF9"/>
    <w:rsid w:val="00A91DE4"/>
    <w:rsid w:val="00A92459"/>
    <w:rsid w:val="00A9278E"/>
    <w:rsid w:val="00A93286"/>
    <w:rsid w:val="00A9352B"/>
    <w:rsid w:val="00A955C4"/>
    <w:rsid w:val="00A95964"/>
    <w:rsid w:val="00A96029"/>
    <w:rsid w:val="00A96891"/>
    <w:rsid w:val="00A96E5C"/>
    <w:rsid w:val="00AA03BC"/>
    <w:rsid w:val="00AA1779"/>
    <w:rsid w:val="00AA1B21"/>
    <w:rsid w:val="00AA1F46"/>
    <w:rsid w:val="00AA2C0B"/>
    <w:rsid w:val="00AA2E6F"/>
    <w:rsid w:val="00AA367C"/>
    <w:rsid w:val="00AA4541"/>
    <w:rsid w:val="00AA4AA7"/>
    <w:rsid w:val="00AA4DB4"/>
    <w:rsid w:val="00AA6070"/>
    <w:rsid w:val="00AA607F"/>
    <w:rsid w:val="00AA621C"/>
    <w:rsid w:val="00AA6544"/>
    <w:rsid w:val="00AA75E1"/>
    <w:rsid w:val="00AB06B0"/>
    <w:rsid w:val="00AB1406"/>
    <w:rsid w:val="00AB1670"/>
    <w:rsid w:val="00AB1F20"/>
    <w:rsid w:val="00AB24A7"/>
    <w:rsid w:val="00AB31D7"/>
    <w:rsid w:val="00AB3283"/>
    <w:rsid w:val="00AB3478"/>
    <w:rsid w:val="00AB3F37"/>
    <w:rsid w:val="00AB4777"/>
    <w:rsid w:val="00AB49E3"/>
    <w:rsid w:val="00AB4B79"/>
    <w:rsid w:val="00AB520A"/>
    <w:rsid w:val="00AB5982"/>
    <w:rsid w:val="00AB60F2"/>
    <w:rsid w:val="00AB63A0"/>
    <w:rsid w:val="00AB6F73"/>
    <w:rsid w:val="00AB7E03"/>
    <w:rsid w:val="00AC140F"/>
    <w:rsid w:val="00AC1703"/>
    <w:rsid w:val="00AC27F2"/>
    <w:rsid w:val="00AC30CD"/>
    <w:rsid w:val="00AC3640"/>
    <w:rsid w:val="00AC499F"/>
    <w:rsid w:val="00AC5822"/>
    <w:rsid w:val="00AC6470"/>
    <w:rsid w:val="00AC6E49"/>
    <w:rsid w:val="00AC6F2F"/>
    <w:rsid w:val="00AC7292"/>
    <w:rsid w:val="00AC7373"/>
    <w:rsid w:val="00AC798E"/>
    <w:rsid w:val="00AD04FF"/>
    <w:rsid w:val="00AD2C8A"/>
    <w:rsid w:val="00AD2F33"/>
    <w:rsid w:val="00AD3BBA"/>
    <w:rsid w:val="00AD3C48"/>
    <w:rsid w:val="00AD3C7D"/>
    <w:rsid w:val="00AD49A8"/>
    <w:rsid w:val="00AD5C7A"/>
    <w:rsid w:val="00AD610A"/>
    <w:rsid w:val="00AD729C"/>
    <w:rsid w:val="00AD7529"/>
    <w:rsid w:val="00AD76D3"/>
    <w:rsid w:val="00AD7803"/>
    <w:rsid w:val="00AD784E"/>
    <w:rsid w:val="00AD7895"/>
    <w:rsid w:val="00AE19CE"/>
    <w:rsid w:val="00AE1B13"/>
    <w:rsid w:val="00AE1DAE"/>
    <w:rsid w:val="00AE23A6"/>
    <w:rsid w:val="00AE2465"/>
    <w:rsid w:val="00AE27DF"/>
    <w:rsid w:val="00AE2BE6"/>
    <w:rsid w:val="00AE3808"/>
    <w:rsid w:val="00AE3869"/>
    <w:rsid w:val="00AE38BE"/>
    <w:rsid w:val="00AE3938"/>
    <w:rsid w:val="00AE6540"/>
    <w:rsid w:val="00AE6BA3"/>
    <w:rsid w:val="00AF06CF"/>
    <w:rsid w:val="00AF08C5"/>
    <w:rsid w:val="00AF1340"/>
    <w:rsid w:val="00AF2920"/>
    <w:rsid w:val="00AF3411"/>
    <w:rsid w:val="00AF3E05"/>
    <w:rsid w:val="00AF46F7"/>
    <w:rsid w:val="00AF481D"/>
    <w:rsid w:val="00AF496A"/>
    <w:rsid w:val="00AF50DC"/>
    <w:rsid w:val="00AF5758"/>
    <w:rsid w:val="00AF5DDB"/>
    <w:rsid w:val="00AF5DE9"/>
    <w:rsid w:val="00AF6655"/>
    <w:rsid w:val="00AF73EE"/>
    <w:rsid w:val="00AF7554"/>
    <w:rsid w:val="00B00494"/>
    <w:rsid w:val="00B01D7C"/>
    <w:rsid w:val="00B02665"/>
    <w:rsid w:val="00B1013A"/>
    <w:rsid w:val="00B12392"/>
    <w:rsid w:val="00B1275E"/>
    <w:rsid w:val="00B12F7F"/>
    <w:rsid w:val="00B160DF"/>
    <w:rsid w:val="00B16665"/>
    <w:rsid w:val="00B167D8"/>
    <w:rsid w:val="00B2007F"/>
    <w:rsid w:val="00B21EF2"/>
    <w:rsid w:val="00B222C3"/>
    <w:rsid w:val="00B22383"/>
    <w:rsid w:val="00B2298F"/>
    <w:rsid w:val="00B23CAD"/>
    <w:rsid w:val="00B244D3"/>
    <w:rsid w:val="00B249C2"/>
    <w:rsid w:val="00B252E0"/>
    <w:rsid w:val="00B259FF"/>
    <w:rsid w:val="00B26B72"/>
    <w:rsid w:val="00B26BE8"/>
    <w:rsid w:val="00B270E1"/>
    <w:rsid w:val="00B275B1"/>
    <w:rsid w:val="00B27649"/>
    <w:rsid w:val="00B27B69"/>
    <w:rsid w:val="00B27E25"/>
    <w:rsid w:val="00B3056C"/>
    <w:rsid w:val="00B30EC1"/>
    <w:rsid w:val="00B31AD4"/>
    <w:rsid w:val="00B33BC3"/>
    <w:rsid w:val="00B35104"/>
    <w:rsid w:val="00B35468"/>
    <w:rsid w:val="00B35BF6"/>
    <w:rsid w:val="00B362A8"/>
    <w:rsid w:val="00B3638F"/>
    <w:rsid w:val="00B36796"/>
    <w:rsid w:val="00B36959"/>
    <w:rsid w:val="00B36BEF"/>
    <w:rsid w:val="00B3731A"/>
    <w:rsid w:val="00B37867"/>
    <w:rsid w:val="00B4034D"/>
    <w:rsid w:val="00B407A0"/>
    <w:rsid w:val="00B434C9"/>
    <w:rsid w:val="00B442B5"/>
    <w:rsid w:val="00B454B3"/>
    <w:rsid w:val="00B45C1C"/>
    <w:rsid w:val="00B4636C"/>
    <w:rsid w:val="00B467A7"/>
    <w:rsid w:val="00B47C77"/>
    <w:rsid w:val="00B47FD2"/>
    <w:rsid w:val="00B50E63"/>
    <w:rsid w:val="00B5256D"/>
    <w:rsid w:val="00B52FA5"/>
    <w:rsid w:val="00B53AB9"/>
    <w:rsid w:val="00B53D47"/>
    <w:rsid w:val="00B5412D"/>
    <w:rsid w:val="00B541F3"/>
    <w:rsid w:val="00B5425D"/>
    <w:rsid w:val="00B54E42"/>
    <w:rsid w:val="00B55B9C"/>
    <w:rsid w:val="00B560B9"/>
    <w:rsid w:val="00B561A5"/>
    <w:rsid w:val="00B56A7B"/>
    <w:rsid w:val="00B5739B"/>
    <w:rsid w:val="00B57609"/>
    <w:rsid w:val="00B57861"/>
    <w:rsid w:val="00B6045F"/>
    <w:rsid w:val="00B61D1B"/>
    <w:rsid w:val="00B61D6B"/>
    <w:rsid w:val="00B628C9"/>
    <w:rsid w:val="00B62AFC"/>
    <w:rsid w:val="00B62BF0"/>
    <w:rsid w:val="00B62F78"/>
    <w:rsid w:val="00B65C45"/>
    <w:rsid w:val="00B6657F"/>
    <w:rsid w:val="00B66880"/>
    <w:rsid w:val="00B66B5F"/>
    <w:rsid w:val="00B670AD"/>
    <w:rsid w:val="00B67476"/>
    <w:rsid w:val="00B67D83"/>
    <w:rsid w:val="00B701A8"/>
    <w:rsid w:val="00B702B8"/>
    <w:rsid w:val="00B70D32"/>
    <w:rsid w:val="00B71010"/>
    <w:rsid w:val="00B71377"/>
    <w:rsid w:val="00B71605"/>
    <w:rsid w:val="00B71A37"/>
    <w:rsid w:val="00B71C50"/>
    <w:rsid w:val="00B73045"/>
    <w:rsid w:val="00B7346E"/>
    <w:rsid w:val="00B7384F"/>
    <w:rsid w:val="00B73B03"/>
    <w:rsid w:val="00B73F56"/>
    <w:rsid w:val="00B74205"/>
    <w:rsid w:val="00B74C2A"/>
    <w:rsid w:val="00B74C45"/>
    <w:rsid w:val="00B74D29"/>
    <w:rsid w:val="00B75162"/>
    <w:rsid w:val="00B76270"/>
    <w:rsid w:val="00B76F5B"/>
    <w:rsid w:val="00B806C1"/>
    <w:rsid w:val="00B8075B"/>
    <w:rsid w:val="00B80FB5"/>
    <w:rsid w:val="00B80FDC"/>
    <w:rsid w:val="00B81E0C"/>
    <w:rsid w:val="00B82243"/>
    <w:rsid w:val="00B823ED"/>
    <w:rsid w:val="00B828F9"/>
    <w:rsid w:val="00B851AF"/>
    <w:rsid w:val="00B8547E"/>
    <w:rsid w:val="00B862A3"/>
    <w:rsid w:val="00B865F8"/>
    <w:rsid w:val="00B867A6"/>
    <w:rsid w:val="00B86B75"/>
    <w:rsid w:val="00B870AC"/>
    <w:rsid w:val="00B87C43"/>
    <w:rsid w:val="00B900BB"/>
    <w:rsid w:val="00B901B0"/>
    <w:rsid w:val="00B909E9"/>
    <w:rsid w:val="00B91228"/>
    <w:rsid w:val="00B91833"/>
    <w:rsid w:val="00B93268"/>
    <w:rsid w:val="00B93335"/>
    <w:rsid w:val="00B935D0"/>
    <w:rsid w:val="00B93CD6"/>
    <w:rsid w:val="00B946F0"/>
    <w:rsid w:val="00B9497D"/>
    <w:rsid w:val="00B94B10"/>
    <w:rsid w:val="00B955C2"/>
    <w:rsid w:val="00B95BE9"/>
    <w:rsid w:val="00B97037"/>
    <w:rsid w:val="00B97109"/>
    <w:rsid w:val="00B97A34"/>
    <w:rsid w:val="00BA0A11"/>
    <w:rsid w:val="00BA1081"/>
    <w:rsid w:val="00BA266A"/>
    <w:rsid w:val="00BA352C"/>
    <w:rsid w:val="00BA3CED"/>
    <w:rsid w:val="00BA4411"/>
    <w:rsid w:val="00BA44E2"/>
    <w:rsid w:val="00BA46AB"/>
    <w:rsid w:val="00BA56E9"/>
    <w:rsid w:val="00BA59D4"/>
    <w:rsid w:val="00BA5DF9"/>
    <w:rsid w:val="00BA772B"/>
    <w:rsid w:val="00BA77E4"/>
    <w:rsid w:val="00BA7CB8"/>
    <w:rsid w:val="00BA7FCC"/>
    <w:rsid w:val="00BB0656"/>
    <w:rsid w:val="00BB0B0C"/>
    <w:rsid w:val="00BB1F6D"/>
    <w:rsid w:val="00BB4DC9"/>
    <w:rsid w:val="00BB6021"/>
    <w:rsid w:val="00BB624F"/>
    <w:rsid w:val="00BB68D2"/>
    <w:rsid w:val="00BB7329"/>
    <w:rsid w:val="00BB777C"/>
    <w:rsid w:val="00BC1478"/>
    <w:rsid w:val="00BC27EF"/>
    <w:rsid w:val="00BC344E"/>
    <w:rsid w:val="00BC3C24"/>
    <w:rsid w:val="00BC482B"/>
    <w:rsid w:val="00BC48F1"/>
    <w:rsid w:val="00BC4D17"/>
    <w:rsid w:val="00BC4D51"/>
    <w:rsid w:val="00BC555B"/>
    <w:rsid w:val="00BC5899"/>
    <w:rsid w:val="00BC5ABC"/>
    <w:rsid w:val="00BC5C85"/>
    <w:rsid w:val="00BC5D87"/>
    <w:rsid w:val="00BC6E96"/>
    <w:rsid w:val="00BC7565"/>
    <w:rsid w:val="00BC7E4D"/>
    <w:rsid w:val="00BD008B"/>
    <w:rsid w:val="00BD0536"/>
    <w:rsid w:val="00BD0E8A"/>
    <w:rsid w:val="00BD1075"/>
    <w:rsid w:val="00BD10C2"/>
    <w:rsid w:val="00BD28DE"/>
    <w:rsid w:val="00BD2AC8"/>
    <w:rsid w:val="00BD37EF"/>
    <w:rsid w:val="00BD485A"/>
    <w:rsid w:val="00BD4D93"/>
    <w:rsid w:val="00BD4EA4"/>
    <w:rsid w:val="00BD5874"/>
    <w:rsid w:val="00BD5EF1"/>
    <w:rsid w:val="00BD6370"/>
    <w:rsid w:val="00BD7469"/>
    <w:rsid w:val="00BD767B"/>
    <w:rsid w:val="00BD7A8A"/>
    <w:rsid w:val="00BE082D"/>
    <w:rsid w:val="00BE1060"/>
    <w:rsid w:val="00BE1DFB"/>
    <w:rsid w:val="00BE3539"/>
    <w:rsid w:val="00BE3A63"/>
    <w:rsid w:val="00BE52C6"/>
    <w:rsid w:val="00BE5377"/>
    <w:rsid w:val="00BE5440"/>
    <w:rsid w:val="00BE586A"/>
    <w:rsid w:val="00BE6106"/>
    <w:rsid w:val="00BE64D3"/>
    <w:rsid w:val="00BE6545"/>
    <w:rsid w:val="00BE68A1"/>
    <w:rsid w:val="00BE7534"/>
    <w:rsid w:val="00BE7FDF"/>
    <w:rsid w:val="00BF0A17"/>
    <w:rsid w:val="00BF22F2"/>
    <w:rsid w:val="00BF27CA"/>
    <w:rsid w:val="00BF3BEA"/>
    <w:rsid w:val="00BF3D77"/>
    <w:rsid w:val="00BF5D98"/>
    <w:rsid w:val="00BF6657"/>
    <w:rsid w:val="00BF69B6"/>
    <w:rsid w:val="00BF6EC6"/>
    <w:rsid w:val="00C0091D"/>
    <w:rsid w:val="00C0106C"/>
    <w:rsid w:val="00C0134C"/>
    <w:rsid w:val="00C02D3B"/>
    <w:rsid w:val="00C0384A"/>
    <w:rsid w:val="00C03FD8"/>
    <w:rsid w:val="00C0476F"/>
    <w:rsid w:val="00C04BBB"/>
    <w:rsid w:val="00C0566E"/>
    <w:rsid w:val="00C05F60"/>
    <w:rsid w:val="00C06568"/>
    <w:rsid w:val="00C0739D"/>
    <w:rsid w:val="00C07615"/>
    <w:rsid w:val="00C077A8"/>
    <w:rsid w:val="00C10E05"/>
    <w:rsid w:val="00C11553"/>
    <w:rsid w:val="00C12A64"/>
    <w:rsid w:val="00C13967"/>
    <w:rsid w:val="00C14957"/>
    <w:rsid w:val="00C154C6"/>
    <w:rsid w:val="00C15B89"/>
    <w:rsid w:val="00C15CD2"/>
    <w:rsid w:val="00C16856"/>
    <w:rsid w:val="00C16987"/>
    <w:rsid w:val="00C16FE1"/>
    <w:rsid w:val="00C1782C"/>
    <w:rsid w:val="00C20862"/>
    <w:rsid w:val="00C2233B"/>
    <w:rsid w:val="00C22D3D"/>
    <w:rsid w:val="00C244D9"/>
    <w:rsid w:val="00C25AD6"/>
    <w:rsid w:val="00C27222"/>
    <w:rsid w:val="00C27602"/>
    <w:rsid w:val="00C306F9"/>
    <w:rsid w:val="00C30A06"/>
    <w:rsid w:val="00C312EB"/>
    <w:rsid w:val="00C3291A"/>
    <w:rsid w:val="00C32C7D"/>
    <w:rsid w:val="00C340A5"/>
    <w:rsid w:val="00C36783"/>
    <w:rsid w:val="00C36CF1"/>
    <w:rsid w:val="00C37AAF"/>
    <w:rsid w:val="00C40E6A"/>
    <w:rsid w:val="00C4126D"/>
    <w:rsid w:val="00C418AB"/>
    <w:rsid w:val="00C41DDB"/>
    <w:rsid w:val="00C42212"/>
    <w:rsid w:val="00C422C2"/>
    <w:rsid w:val="00C43519"/>
    <w:rsid w:val="00C43653"/>
    <w:rsid w:val="00C43CFF"/>
    <w:rsid w:val="00C43EE9"/>
    <w:rsid w:val="00C4481F"/>
    <w:rsid w:val="00C449D5"/>
    <w:rsid w:val="00C455AF"/>
    <w:rsid w:val="00C465F3"/>
    <w:rsid w:val="00C473E4"/>
    <w:rsid w:val="00C47757"/>
    <w:rsid w:val="00C47856"/>
    <w:rsid w:val="00C501FF"/>
    <w:rsid w:val="00C50AF0"/>
    <w:rsid w:val="00C50FCA"/>
    <w:rsid w:val="00C511EC"/>
    <w:rsid w:val="00C514CF"/>
    <w:rsid w:val="00C51594"/>
    <w:rsid w:val="00C521A8"/>
    <w:rsid w:val="00C5243B"/>
    <w:rsid w:val="00C556AA"/>
    <w:rsid w:val="00C5661B"/>
    <w:rsid w:val="00C56EA5"/>
    <w:rsid w:val="00C571C1"/>
    <w:rsid w:val="00C57BE8"/>
    <w:rsid w:val="00C57D54"/>
    <w:rsid w:val="00C60065"/>
    <w:rsid w:val="00C602B3"/>
    <w:rsid w:val="00C611EF"/>
    <w:rsid w:val="00C61585"/>
    <w:rsid w:val="00C61620"/>
    <w:rsid w:val="00C61B54"/>
    <w:rsid w:val="00C61BE9"/>
    <w:rsid w:val="00C61CB4"/>
    <w:rsid w:val="00C6356D"/>
    <w:rsid w:val="00C63A1C"/>
    <w:rsid w:val="00C648E6"/>
    <w:rsid w:val="00C658A5"/>
    <w:rsid w:val="00C65B63"/>
    <w:rsid w:val="00C668B9"/>
    <w:rsid w:val="00C66FF0"/>
    <w:rsid w:val="00C67C81"/>
    <w:rsid w:val="00C67F79"/>
    <w:rsid w:val="00C7005A"/>
    <w:rsid w:val="00C7019D"/>
    <w:rsid w:val="00C70B54"/>
    <w:rsid w:val="00C717F9"/>
    <w:rsid w:val="00C71B3D"/>
    <w:rsid w:val="00C7236A"/>
    <w:rsid w:val="00C72E36"/>
    <w:rsid w:val="00C73032"/>
    <w:rsid w:val="00C7353D"/>
    <w:rsid w:val="00C73A47"/>
    <w:rsid w:val="00C73C4A"/>
    <w:rsid w:val="00C73CEB"/>
    <w:rsid w:val="00C74078"/>
    <w:rsid w:val="00C7493B"/>
    <w:rsid w:val="00C752E2"/>
    <w:rsid w:val="00C75989"/>
    <w:rsid w:val="00C75F34"/>
    <w:rsid w:val="00C76C3F"/>
    <w:rsid w:val="00C7723D"/>
    <w:rsid w:val="00C77C04"/>
    <w:rsid w:val="00C804E2"/>
    <w:rsid w:val="00C808BF"/>
    <w:rsid w:val="00C80B5E"/>
    <w:rsid w:val="00C81BE3"/>
    <w:rsid w:val="00C823DA"/>
    <w:rsid w:val="00C829BA"/>
    <w:rsid w:val="00C8334D"/>
    <w:rsid w:val="00C83826"/>
    <w:rsid w:val="00C83AB5"/>
    <w:rsid w:val="00C84A9D"/>
    <w:rsid w:val="00C85602"/>
    <w:rsid w:val="00C85D40"/>
    <w:rsid w:val="00C908CB"/>
    <w:rsid w:val="00C913E8"/>
    <w:rsid w:val="00C916B2"/>
    <w:rsid w:val="00C91B5C"/>
    <w:rsid w:val="00C92104"/>
    <w:rsid w:val="00C92B4A"/>
    <w:rsid w:val="00C92C8A"/>
    <w:rsid w:val="00C9311C"/>
    <w:rsid w:val="00C93A01"/>
    <w:rsid w:val="00C93A27"/>
    <w:rsid w:val="00C94064"/>
    <w:rsid w:val="00C944F9"/>
    <w:rsid w:val="00C945EF"/>
    <w:rsid w:val="00C946A6"/>
    <w:rsid w:val="00C94B2A"/>
    <w:rsid w:val="00C94F8F"/>
    <w:rsid w:val="00C951FB"/>
    <w:rsid w:val="00C954B7"/>
    <w:rsid w:val="00C95DCA"/>
    <w:rsid w:val="00C96CB1"/>
    <w:rsid w:val="00C97194"/>
    <w:rsid w:val="00CA171A"/>
    <w:rsid w:val="00CA1B1E"/>
    <w:rsid w:val="00CA1D8C"/>
    <w:rsid w:val="00CA1FB8"/>
    <w:rsid w:val="00CA232B"/>
    <w:rsid w:val="00CA281F"/>
    <w:rsid w:val="00CA408C"/>
    <w:rsid w:val="00CA4354"/>
    <w:rsid w:val="00CA474B"/>
    <w:rsid w:val="00CA55EA"/>
    <w:rsid w:val="00CA5CA3"/>
    <w:rsid w:val="00CA710F"/>
    <w:rsid w:val="00CA72F3"/>
    <w:rsid w:val="00CB17F2"/>
    <w:rsid w:val="00CB201B"/>
    <w:rsid w:val="00CB29C1"/>
    <w:rsid w:val="00CB3393"/>
    <w:rsid w:val="00CB379E"/>
    <w:rsid w:val="00CB385B"/>
    <w:rsid w:val="00CB439A"/>
    <w:rsid w:val="00CB5238"/>
    <w:rsid w:val="00CB5381"/>
    <w:rsid w:val="00CB7794"/>
    <w:rsid w:val="00CB7E83"/>
    <w:rsid w:val="00CC03DA"/>
    <w:rsid w:val="00CC0864"/>
    <w:rsid w:val="00CC0EFB"/>
    <w:rsid w:val="00CC18A9"/>
    <w:rsid w:val="00CC18FB"/>
    <w:rsid w:val="00CC1908"/>
    <w:rsid w:val="00CC292B"/>
    <w:rsid w:val="00CC4974"/>
    <w:rsid w:val="00CC53F9"/>
    <w:rsid w:val="00CC5694"/>
    <w:rsid w:val="00CC5C8A"/>
    <w:rsid w:val="00CC60B4"/>
    <w:rsid w:val="00CC63A9"/>
    <w:rsid w:val="00CC7EA6"/>
    <w:rsid w:val="00CD04B3"/>
    <w:rsid w:val="00CD0BFF"/>
    <w:rsid w:val="00CD0CC3"/>
    <w:rsid w:val="00CD1259"/>
    <w:rsid w:val="00CD151D"/>
    <w:rsid w:val="00CD26AC"/>
    <w:rsid w:val="00CD27AD"/>
    <w:rsid w:val="00CD2A5F"/>
    <w:rsid w:val="00CD3948"/>
    <w:rsid w:val="00CD39CA"/>
    <w:rsid w:val="00CD485F"/>
    <w:rsid w:val="00CD58B0"/>
    <w:rsid w:val="00CD7314"/>
    <w:rsid w:val="00CD7D8E"/>
    <w:rsid w:val="00CE0279"/>
    <w:rsid w:val="00CE0F67"/>
    <w:rsid w:val="00CE117C"/>
    <w:rsid w:val="00CE3308"/>
    <w:rsid w:val="00CE4DE6"/>
    <w:rsid w:val="00CE4FA7"/>
    <w:rsid w:val="00CE53AD"/>
    <w:rsid w:val="00CE627E"/>
    <w:rsid w:val="00CE63D5"/>
    <w:rsid w:val="00CE7178"/>
    <w:rsid w:val="00CF0270"/>
    <w:rsid w:val="00CF045C"/>
    <w:rsid w:val="00CF04EE"/>
    <w:rsid w:val="00CF0AF3"/>
    <w:rsid w:val="00CF0E8D"/>
    <w:rsid w:val="00CF1122"/>
    <w:rsid w:val="00CF1635"/>
    <w:rsid w:val="00CF1AB5"/>
    <w:rsid w:val="00CF1BB2"/>
    <w:rsid w:val="00CF3034"/>
    <w:rsid w:val="00CF321D"/>
    <w:rsid w:val="00CF336A"/>
    <w:rsid w:val="00CF369B"/>
    <w:rsid w:val="00CF3BE4"/>
    <w:rsid w:val="00CF4869"/>
    <w:rsid w:val="00CF51E6"/>
    <w:rsid w:val="00CF7616"/>
    <w:rsid w:val="00CF7B77"/>
    <w:rsid w:val="00D0025C"/>
    <w:rsid w:val="00D00FE7"/>
    <w:rsid w:val="00D01397"/>
    <w:rsid w:val="00D02395"/>
    <w:rsid w:val="00D0364D"/>
    <w:rsid w:val="00D03B71"/>
    <w:rsid w:val="00D043F0"/>
    <w:rsid w:val="00D04FAA"/>
    <w:rsid w:val="00D05A31"/>
    <w:rsid w:val="00D061C3"/>
    <w:rsid w:val="00D062CA"/>
    <w:rsid w:val="00D067B7"/>
    <w:rsid w:val="00D10551"/>
    <w:rsid w:val="00D117A9"/>
    <w:rsid w:val="00D125E3"/>
    <w:rsid w:val="00D1397D"/>
    <w:rsid w:val="00D15562"/>
    <w:rsid w:val="00D16ADD"/>
    <w:rsid w:val="00D178CA"/>
    <w:rsid w:val="00D17DF6"/>
    <w:rsid w:val="00D17F92"/>
    <w:rsid w:val="00D22372"/>
    <w:rsid w:val="00D2262C"/>
    <w:rsid w:val="00D22F8F"/>
    <w:rsid w:val="00D23519"/>
    <w:rsid w:val="00D2369D"/>
    <w:rsid w:val="00D23D6A"/>
    <w:rsid w:val="00D25C27"/>
    <w:rsid w:val="00D25CFD"/>
    <w:rsid w:val="00D25E06"/>
    <w:rsid w:val="00D25E9B"/>
    <w:rsid w:val="00D25ECC"/>
    <w:rsid w:val="00D276D1"/>
    <w:rsid w:val="00D30DA9"/>
    <w:rsid w:val="00D32C78"/>
    <w:rsid w:val="00D3339A"/>
    <w:rsid w:val="00D33696"/>
    <w:rsid w:val="00D33C4E"/>
    <w:rsid w:val="00D33CE9"/>
    <w:rsid w:val="00D34460"/>
    <w:rsid w:val="00D3484E"/>
    <w:rsid w:val="00D3577A"/>
    <w:rsid w:val="00D35929"/>
    <w:rsid w:val="00D35B16"/>
    <w:rsid w:val="00D367BD"/>
    <w:rsid w:val="00D36AF1"/>
    <w:rsid w:val="00D41234"/>
    <w:rsid w:val="00D4131E"/>
    <w:rsid w:val="00D41748"/>
    <w:rsid w:val="00D41CB2"/>
    <w:rsid w:val="00D43561"/>
    <w:rsid w:val="00D440C1"/>
    <w:rsid w:val="00D4482A"/>
    <w:rsid w:val="00D45A2D"/>
    <w:rsid w:val="00D45E02"/>
    <w:rsid w:val="00D47254"/>
    <w:rsid w:val="00D500FB"/>
    <w:rsid w:val="00D5010A"/>
    <w:rsid w:val="00D52A32"/>
    <w:rsid w:val="00D5329A"/>
    <w:rsid w:val="00D535AF"/>
    <w:rsid w:val="00D54D54"/>
    <w:rsid w:val="00D5535E"/>
    <w:rsid w:val="00D553E6"/>
    <w:rsid w:val="00D56B69"/>
    <w:rsid w:val="00D56CB1"/>
    <w:rsid w:val="00D56D85"/>
    <w:rsid w:val="00D573EE"/>
    <w:rsid w:val="00D573FB"/>
    <w:rsid w:val="00D577BF"/>
    <w:rsid w:val="00D618BB"/>
    <w:rsid w:val="00D62FD5"/>
    <w:rsid w:val="00D6302F"/>
    <w:rsid w:val="00D630F7"/>
    <w:rsid w:val="00D63127"/>
    <w:rsid w:val="00D63CC0"/>
    <w:rsid w:val="00D6405F"/>
    <w:rsid w:val="00D64700"/>
    <w:rsid w:val="00D653FF"/>
    <w:rsid w:val="00D6540C"/>
    <w:rsid w:val="00D65F14"/>
    <w:rsid w:val="00D677E1"/>
    <w:rsid w:val="00D67D03"/>
    <w:rsid w:val="00D7013D"/>
    <w:rsid w:val="00D70ED5"/>
    <w:rsid w:val="00D71325"/>
    <w:rsid w:val="00D719FA"/>
    <w:rsid w:val="00D72399"/>
    <w:rsid w:val="00D72B5F"/>
    <w:rsid w:val="00D7404E"/>
    <w:rsid w:val="00D742CB"/>
    <w:rsid w:val="00D749FB"/>
    <w:rsid w:val="00D74B61"/>
    <w:rsid w:val="00D75E9E"/>
    <w:rsid w:val="00D762EF"/>
    <w:rsid w:val="00D7630D"/>
    <w:rsid w:val="00D7640F"/>
    <w:rsid w:val="00D76528"/>
    <w:rsid w:val="00D77006"/>
    <w:rsid w:val="00D771F2"/>
    <w:rsid w:val="00D81242"/>
    <w:rsid w:val="00D81BA1"/>
    <w:rsid w:val="00D82401"/>
    <w:rsid w:val="00D83E2F"/>
    <w:rsid w:val="00D847D7"/>
    <w:rsid w:val="00D85080"/>
    <w:rsid w:val="00D85087"/>
    <w:rsid w:val="00D85695"/>
    <w:rsid w:val="00D86F76"/>
    <w:rsid w:val="00D870C9"/>
    <w:rsid w:val="00D87634"/>
    <w:rsid w:val="00D87FC8"/>
    <w:rsid w:val="00D9116A"/>
    <w:rsid w:val="00D9163C"/>
    <w:rsid w:val="00D916D1"/>
    <w:rsid w:val="00D91E68"/>
    <w:rsid w:val="00D921AF"/>
    <w:rsid w:val="00D92B9B"/>
    <w:rsid w:val="00D92E77"/>
    <w:rsid w:val="00D930ED"/>
    <w:rsid w:val="00D93AF0"/>
    <w:rsid w:val="00D944B6"/>
    <w:rsid w:val="00D94C2F"/>
    <w:rsid w:val="00D95E7B"/>
    <w:rsid w:val="00D96A70"/>
    <w:rsid w:val="00DA163C"/>
    <w:rsid w:val="00DA1A63"/>
    <w:rsid w:val="00DA21F1"/>
    <w:rsid w:val="00DA24A8"/>
    <w:rsid w:val="00DA277B"/>
    <w:rsid w:val="00DA405B"/>
    <w:rsid w:val="00DA59EC"/>
    <w:rsid w:val="00DB0016"/>
    <w:rsid w:val="00DB04A7"/>
    <w:rsid w:val="00DB0836"/>
    <w:rsid w:val="00DB0B91"/>
    <w:rsid w:val="00DB16B2"/>
    <w:rsid w:val="00DB1D75"/>
    <w:rsid w:val="00DB3A23"/>
    <w:rsid w:val="00DB413E"/>
    <w:rsid w:val="00DB42B6"/>
    <w:rsid w:val="00DB4555"/>
    <w:rsid w:val="00DB4B62"/>
    <w:rsid w:val="00DB4E46"/>
    <w:rsid w:val="00DB565D"/>
    <w:rsid w:val="00DB5DE1"/>
    <w:rsid w:val="00DB5F7C"/>
    <w:rsid w:val="00DC01F0"/>
    <w:rsid w:val="00DC256F"/>
    <w:rsid w:val="00DC309D"/>
    <w:rsid w:val="00DC4345"/>
    <w:rsid w:val="00DC46AB"/>
    <w:rsid w:val="00DC4FC9"/>
    <w:rsid w:val="00DC6C92"/>
    <w:rsid w:val="00DC6E75"/>
    <w:rsid w:val="00DD0C82"/>
    <w:rsid w:val="00DD18D6"/>
    <w:rsid w:val="00DD1E24"/>
    <w:rsid w:val="00DD2BC1"/>
    <w:rsid w:val="00DD37F2"/>
    <w:rsid w:val="00DD387B"/>
    <w:rsid w:val="00DD4332"/>
    <w:rsid w:val="00DD55A5"/>
    <w:rsid w:val="00DD5BC1"/>
    <w:rsid w:val="00DD6738"/>
    <w:rsid w:val="00DD73E5"/>
    <w:rsid w:val="00DD74F8"/>
    <w:rsid w:val="00DE00E6"/>
    <w:rsid w:val="00DE1DE5"/>
    <w:rsid w:val="00DE3959"/>
    <w:rsid w:val="00DE3989"/>
    <w:rsid w:val="00DE4C42"/>
    <w:rsid w:val="00DE539D"/>
    <w:rsid w:val="00DE5B09"/>
    <w:rsid w:val="00DE5D95"/>
    <w:rsid w:val="00DE5DCF"/>
    <w:rsid w:val="00DE60F3"/>
    <w:rsid w:val="00DE68F4"/>
    <w:rsid w:val="00DE71A7"/>
    <w:rsid w:val="00DE76D6"/>
    <w:rsid w:val="00DF0671"/>
    <w:rsid w:val="00DF0D0D"/>
    <w:rsid w:val="00DF12E9"/>
    <w:rsid w:val="00DF152A"/>
    <w:rsid w:val="00DF1919"/>
    <w:rsid w:val="00DF19FE"/>
    <w:rsid w:val="00DF23B5"/>
    <w:rsid w:val="00DF2803"/>
    <w:rsid w:val="00DF2D19"/>
    <w:rsid w:val="00DF3886"/>
    <w:rsid w:val="00DF3A67"/>
    <w:rsid w:val="00DF42C2"/>
    <w:rsid w:val="00DF4744"/>
    <w:rsid w:val="00DF48F9"/>
    <w:rsid w:val="00DF53D2"/>
    <w:rsid w:val="00DF5A08"/>
    <w:rsid w:val="00DF5B4E"/>
    <w:rsid w:val="00DF69C6"/>
    <w:rsid w:val="00DF6CE1"/>
    <w:rsid w:val="00DF7063"/>
    <w:rsid w:val="00DF710B"/>
    <w:rsid w:val="00DF7861"/>
    <w:rsid w:val="00DF7B0A"/>
    <w:rsid w:val="00DF7D2E"/>
    <w:rsid w:val="00E001F3"/>
    <w:rsid w:val="00E004BF"/>
    <w:rsid w:val="00E006E3"/>
    <w:rsid w:val="00E0212C"/>
    <w:rsid w:val="00E033AC"/>
    <w:rsid w:val="00E03632"/>
    <w:rsid w:val="00E0368D"/>
    <w:rsid w:val="00E03972"/>
    <w:rsid w:val="00E03C61"/>
    <w:rsid w:val="00E04B4B"/>
    <w:rsid w:val="00E05BBD"/>
    <w:rsid w:val="00E05CBA"/>
    <w:rsid w:val="00E069E3"/>
    <w:rsid w:val="00E06F17"/>
    <w:rsid w:val="00E070F0"/>
    <w:rsid w:val="00E07DDE"/>
    <w:rsid w:val="00E10A4D"/>
    <w:rsid w:val="00E114AB"/>
    <w:rsid w:val="00E1215C"/>
    <w:rsid w:val="00E1268E"/>
    <w:rsid w:val="00E136BA"/>
    <w:rsid w:val="00E13901"/>
    <w:rsid w:val="00E13AD2"/>
    <w:rsid w:val="00E13EC3"/>
    <w:rsid w:val="00E16549"/>
    <w:rsid w:val="00E16D67"/>
    <w:rsid w:val="00E17063"/>
    <w:rsid w:val="00E21936"/>
    <w:rsid w:val="00E237D3"/>
    <w:rsid w:val="00E23EAE"/>
    <w:rsid w:val="00E24156"/>
    <w:rsid w:val="00E25DAE"/>
    <w:rsid w:val="00E26617"/>
    <w:rsid w:val="00E30C40"/>
    <w:rsid w:val="00E3139A"/>
    <w:rsid w:val="00E321E4"/>
    <w:rsid w:val="00E33D9F"/>
    <w:rsid w:val="00E33E81"/>
    <w:rsid w:val="00E344F5"/>
    <w:rsid w:val="00E34AB4"/>
    <w:rsid w:val="00E361EC"/>
    <w:rsid w:val="00E36251"/>
    <w:rsid w:val="00E36923"/>
    <w:rsid w:val="00E37111"/>
    <w:rsid w:val="00E377E7"/>
    <w:rsid w:val="00E378A4"/>
    <w:rsid w:val="00E4003E"/>
    <w:rsid w:val="00E401D5"/>
    <w:rsid w:val="00E40CC0"/>
    <w:rsid w:val="00E4100C"/>
    <w:rsid w:val="00E41016"/>
    <w:rsid w:val="00E427EF"/>
    <w:rsid w:val="00E4490B"/>
    <w:rsid w:val="00E44B32"/>
    <w:rsid w:val="00E44D2F"/>
    <w:rsid w:val="00E4526F"/>
    <w:rsid w:val="00E45BA6"/>
    <w:rsid w:val="00E45D1A"/>
    <w:rsid w:val="00E471F2"/>
    <w:rsid w:val="00E5045B"/>
    <w:rsid w:val="00E50462"/>
    <w:rsid w:val="00E5072D"/>
    <w:rsid w:val="00E509FB"/>
    <w:rsid w:val="00E50A01"/>
    <w:rsid w:val="00E51B2E"/>
    <w:rsid w:val="00E51D4B"/>
    <w:rsid w:val="00E524AB"/>
    <w:rsid w:val="00E52C06"/>
    <w:rsid w:val="00E53925"/>
    <w:rsid w:val="00E539A4"/>
    <w:rsid w:val="00E53CD7"/>
    <w:rsid w:val="00E540C7"/>
    <w:rsid w:val="00E54101"/>
    <w:rsid w:val="00E55175"/>
    <w:rsid w:val="00E555D7"/>
    <w:rsid w:val="00E55AFF"/>
    <w:rsid w:val="00E563F9"/>
    <w:rsid w:val="00E5648E"/>
    <w:rsid w:val="00E57077"/>
    <w:rsid w:val="00E603BE"/>
    <w:rsid w:val="00E60578"/>
    <w:rsid w:val="00E60C66"/>
    <w:rsid w:val="00E61570"/>
    <w:rsid w:val="00E63A91"/>
    <w:rsid w:val="00E63A92"/>
    <w:rsid w:val="00E64281"/>
    <w:rsid w:val="00E6633D"/>
    <w:rsid w:val="00E667A2"/>
    <w:rsid w:val="00E66967"/>
    <w:rsid w:val="00E66F95"/>
    <w:rsid w:val="00E67706"/>
    <w:rsid w:val="00E67A39"/>
    <w:rsid w:val="00E711B9"/>
    <w:rsid w:val="00E71607"/>
    <w:rsid w:val="00E718FB"/>
    <w:rsid w:val="00E7208A"/>
    <w:rsid w:val="00E722B5"/>
    <w:rsid w:val="00E72CF3"/>
    <w:rsid w:val="00E736B2"/>
    <w:rsid w:val="00E73A36"/>
    <w:rsid w:val="00E754B0"/>
    <w:rsid w:val="00E7713B"/>
    <w:rsid w:val="00E77B24"/>
    <w:rsid w:val="00E77E5A"/>
    <w:rsid w:val="00E80C2B"/>
    <w:rsid w:val="00E813B4"/>
    <w:rsid w:val="00E822B9"/>
    <w:rsid w:val="00E824B6"/>
    <w:rsid w:val="00E83395"/>
    <w:rsid w:val="00E84344"/>
    <w:rsid w:val="00E84579"/>
    <w:rsid w:val="00E8464C"/>
    <w:rsid w:val="00E85C8E"/>
    <w:rsid w:val="00E866D8"/>
    <w:rsid w:val="00E871B6"/>
    <w:rsid w:val="00E874A5"/>
    <w:rsid w:val="00E875B8"/>
    <w:rsid w:val="00E87C9B"/>
    <w:rsid w:val="00E87EDB"/>
    <w:rsid w:val="00E90068"/>
    <w:rsid w:val="00E90086"/>
    <w:rsid w:val="00E90E99"/>
    <w:rsid w:val="00E91394"/>
    <w:rsid w:val="00E917F6"/>
    <w:rsid w:val="00E918BB"/>
    <w:rsid w:val="00E93AF1"/>
    <w:rsid w:val="00E948F0"/>
    <w:rsid w:val="00E9636C"/>
    <w:rsid w:val="00E96BAD"/>
    <w:rsid w:val="00E976FC"/>
    <w:rsid w:val="00E977CE"/>
    <w:rsid w:val="00E978B8"/>
    <w:rsid w:val="00EA0438"/>
    <w:rsid w:val="00EA126A"/>
    <w:rsid w:val="00EA2B15"/>
    <w:rsid w:val="00EA2DB2"/>
    <w:rsid w:val="00EA3C5A"/>
    <w:rsid w:val="00EA4569"/>
    <w:rsid w:val="00EA5BFF"/>
    <w:rsid w:val="00EA5DDE"/>
    <w:rsid w:val="00EA623F"/>
    <w:rsid w:val="00EA6273"/>
    <w:rsid w:val="00EA6B81"/>
    <w:rsid w:val="00EA78DA"/>
    <w:rsid w:val="00EB18D9"/>
    <w:rsid w:val="00EB1B64"/>
    <w:rsid w:val="00EB1F41"/>
    <w:rsid w:val="00EB41F1"/>
    <w:rsid w:val="00EB42C5"/>
    <w:rsid w:val="00EB479C"/>
    <w:rsid w:val="00EB54A3"/>
    <w:rsid w:val="00EB79E0"/>
    <w:rsid w:val="00EB7C88"/>
    <w:rsid w:val="00EB7EDF"/>
    <w:rsid w:val="00EC0340"/>
    <w:rsid w:val="00EC0EA0"/>
    <w:rsid w:val="00EC0F28"/>
    <w:rsid w:val="00EC19ED"/>
    <w:rsid w:val="00EC1E40"/>
    <w:rsid w:val="00EC22B9"/>
    <w:rsid w:val="00EC26D2"/>
    <w:rsid w:val="00EC2F01"/>
    <w:rsid w:val="00EC33B5"/>
    <w:rsid w:val="00EC35CF"/>
    <w:rsid w:val="00EC45D5"/>
    <w:rsid w:val="00EC4ABF"/>
    <w:rsid w:val="00EC7795"/>
    <w:rsid w:val="00ED0950"/>
    <w:rsid w:val="00ED11B0"/>
    <w:rsid w:val="00ED13B4"/>
    <w:rsid w:val="00ED381B"/>
    <w:rsid w:val="00ED3B30"/>
    <w:rsid w:val="00ED517F"/>
    <w:rsid w:val="00ED52FF"/>
    <w:rsid w:val="00ED569E"/>
    <w:rsid w:val="00ED58BF"/>
    <w:rsid w:val="00ED6166"/>
    <w:rsid w:val="00ED773B"/>
    <w:rsid w:val="00ED7CDC"/>
    <w:rsid w:val="00EE1226"/>
    <w:rsid w:val="00EE170A"/>
    <w:rsid w:val="00EE2418"/>
    <w:rsid w:val="00EE29E5"/>
    <w:rsid w:val="00EE339D"/>
    <w:rsid w:val="00EE3400"/>
    <w:rsid w:val="00EE3902"/>
    <w:rsid w:val="00EE3957"/>
    <w:rsid w:val="00EE3E9C"/>
    <w:rsid w:val="00EE40A5"/>
    <w:rsid w:val="00EE4A35"/>
    <w:rsid w:val="00EE57FE"/>
    <w:rsid w:val="00EE6ED7"/>
    <w:rsid w:val="00EF02DD"/>
    <w:rsid w:val="00EF09F8"/>
    <w:rsid w:val="00EF1A66"/>
    <w:rsid w:val="00EF1DA7"/>
    <w:rsid w:val="00EF2EE9"/>
    <w:rsid w:val="00EF310C"/>
    <w:rsid w:val="00EF3265"/>
    <w:rsid w:val="00EF3520"/>
    <w:rsid w:val="00EF38E2"/>
    <w:rsid w:val="00EF3C0B"/>
    <w:rsid w:val="00EF42A8"/>
    <w:rsid w:val="00EF50F1"/>
    <w:rsid w:val="00EF536A"/>
    <w:rsid w:val="00EF5520"/>
    <w:rsid w:val="00EF56E1"/>
    <w:rsid w:val="00EF57CC"/>
    <w:rsid w:val="00EF65C6"/>
    <w:rsid w:val="00EF677C"/>
    <w:rsid w:val="00EF7117"/>
    <w:rsid w:val="00EF7C1E"/>
    <w:rsid w:val="00F00B47"/>
    <w:rsid w:val="00F00DFF"/>
    <w:rsid w:val="00F017A9"/>
    <w:rsid w:val="00F01C8D"/>
    <w:rsid w:val="00F0204F"/>
    <w:rsid w:val="00F02061"/>
    <w:rsid w:val="00F03505"/>
    <w:rsid w:val="00F0441A"/>
    <w:rsid w:val="00F046BA"/>
    <w:rsid w:val="00F0474C"/>
    <w:rsid w:val="00F049A1"/>
    <w:rsid w:val="00F04BF4"/>
    <w:rsid w:val="00F052A9"/>
    <w:rsid w:val="00F055C3"/>
    <w:rsid w:val="00F06748"/>
    <w:rsid w:val="00F072CC"/>
    <w:rsid w:val="00F074DB"/>
    <w:rsid w:val="00F10D44"/>
    <w:rsid w:val="00F11E6C"/>
    <w:rsid w:val="00F126CC"/>
    <w:rsid w:val="00F12AD5"/>
    <w:rsid w:val="00F136CB"/>
    <w:rsid w:val="00F13A09"/>
    <w:rsid w:val="00F1445A"/>
    <w:rsid w:val="00F15B76"/>
    <w:rsid w:val="00F16860"/>
    <w:rsid w:val="00F17205"/>
    <w:rsid w:val="00F179FB"/>
    <w:rsid w:val="00F20F39"/>
    <w:rsid w:val="00F22243"/>
    <w:rsid w:val="00F22995"/>
    <w:rsid w:val="00F22A3B"/>
    <w:rsid w:val="00F22E9A"/>
    <w:rsid w:val="00F2334E"/>
    <w:rsid w:val="00F23543"/>
    <w:rsid w:val="00F23953"/>
    <w:rsid w:val="00F25CCA"/>
    <w:rsid w:val="00F26AE1"/>
    <w:rsid w:val="00F27500"/>
    <w:rsid w:val="00F30FDA"/>
    <w:rsid w:val="00F320C0"/>
    <w:rsid w:val="00F33EF2"/>
    <w:rsid w:val="00F34D2D"/>
    <w:rsid w:val="00F34DBE"/>
    <w:rsid w:val="00F352B7"/>
    <w:rsid w:val="00F35DA5"/>
    <w:rsid w:val="00F368AA"/>
    <w:rsid w:val="00F37838"/>
    <w:rsid w:val="00F400F6"/>
    <w:rsid w:val="00F40486"/>
    <w:rsid w:val="00F411CD"/>
    <w:rsid w:val="00F4193B"/>
    <w:rsid w:val="00F42B60"/>
    <w:rsid w:val="00F431D6"/>
    <w:rsid w:val="00F4353B"/>
    <w:rsid w:val="00F43757"/>
    <w:rsid w:val="00F43AC3"/>
    <w:rsid w:val="00F43E5E"/>
    <w:rsid w:val="00F45A0A"/>
    <w:rsid w:val="00F45B87"/>
    <w:rsid w:val="00F45C18"/>
    <w:rsid w:val="00F45F16"/>
    <w:rsid w:val="00F51788"/>
    <w:rsid w:val="00F51A3B"/>
    <w:rsid w:val="00F5318A"/>
    <w:rsid w:val="00F53F2C"/>
    <w:rsid w:val="00F54476"/>
    <w:rsid w:val="00F546F3"/>
    <w:rsid w:val="00F54A21"/>
    <w:rsid w:val="00F55B68"/>
    <w:rsid w:val="00F56B29"/>
    <w:rsid w:val="00F57104"/>
    <w:rsid w:val="00F5736C"/>
    <w:rsid w:val="00F60595"/>
    <w:rsid w:val="00F614A2"/>
    <w:rsid w:val="00F61F63"/>
    <w:rsid w:val="00F632F7"/>
    <w:rsid w:val="00F646EE"/>
    <w:rsid w:val="00F6475D"/>
    <w:rsid w:val="00F64B4A"/>
    <w:rsid w:val="00F6571C"/>
    <w:rsid w:val="00F6579D"/>
    <w:rsid w:val="00F662B9"/>
    <w:rsid w:val="00F670A9"/>
    <w:rsid w:val="00F67963"/>
    <w:rsid w:val="00F67A82"/>
    <w:rsid w:val="00F7063E"/>
    <w:rsid w:val="00F710D7"/>
    <w:rsid w:val="00F7129C"/>
    <w:rsid w:val="00F7163E"/>
    <w:rsid w:val="00F72A15"/>
    <w:rsid w:val="00F72EC7"/>
    <w:rsid w:val="00F7347E"/>
    <w:rsid w:val="00F74348"/>
    <w:rsid w:val="00F74FD6"/>
    <w:rsid w:val="00F75D58"/>
    <w:rsid w:val="00F75D63"/>
    <w:rsid w:val="00F761FF"/>
    <w:rsid w:val="00F76798"/>
    <w:rsid w:val="00F77DB3"/>
    <w:rsid w:val="00F805AC"/>
    <w:rsid w:val="00F816C3"/>
    <w:rsid w:val="00F82974"/>
    <w:rsid w:val="00F83857"/>
    <w:rsid w:val="00F84DE6"/>
    <w:rsid w:val="00F8529E"/>
    <w:rsid w:val="00F856BE"/>
    <w:rsid w:val="00F87A29"/>
    <w:rsid w:val="00F90440"/>
    <w:rsid w:val="00F92859"/>
    <w:rsid w:val="00F92C37"/>
    <w:rsid w:val="00F94A3A"/>
    <w:rsid w:val="00F94E97"/>
    <w:rsid w:val="00F95786"/>
    <w:rsid w:val="00F95DFF"/>
    <w:rsid w:val="00F972FD"/>
    <w:rsid w:val="00F975E8"/>
    <w:rsid w:val="00F976E4"/>
    <w:rsid w:val="00FA421E"/>
    <w:rsid w:val="00FA4CF7"/>
    <w:rsid w:val="00FA4DCB"/>
    <w:rsid w:val="00FA59A9"/>
    <w:rsid w:val="00FA5C05"/>
    <w:rsid w:val="00FA6404"/>
    <w:rsid w:val="00FA6658"/>
    <w:rsid w:val="00FA6EC6"/>
    <w:rsid w:val="00FB08C8"/>
    <w:rsid w:val="00FB0908"/>
    <w:rsid w:val="00FB0BAB"/>
    <w:rsid w:val="00FB0D7E"/>
    <w:rsid w:val="00FB16C3"/>
    <w:rsid w:val="00FB1C27"/>
    <w:rsid w:val="00FB2559"/>
    <w:rsid w:val="00FB3688"/>
    <w:rsid w:val="00FB370C"/>
    <w:rsid w:val="00FB4ADF"/>
    <w:rsid w:val="00FB6749"/>
    <w:rsid w:val="00FB77B5"/>
    <w:rsid w:val="00FC00D5"/>
    <w:rsid w:val="00FC1212"/>
    <w:rsid w:val="00FC15D2"/>
    <w:rsid w:val="00FC35EF"/>
    <w:rsid w:val="00FC3B3D"/>
    <w:rsid w:val="00FC3D56"/>
    <w:rsid w:val="00FC5B41"/>
    <w:rsid w:val="00FC5F8F"/>
    <w:rsid w:val="00FC63D6"/>
    <w:rsid w:val="00FC6979"/>
    <w:rsid w:val="00FC6D2F"/>
    <w:rsid w:val="00FC6E69"/>
    <w:rsid w:val="00FC6F1B"/>
    <w:rsid w:val="00FC7182"/>
    <w:rsid w:val="00FC7D97"/>
    <w:rsid w:val="00FC7F49"/>
    <w:rsid w:val="00FD0A82"/>
    <w:rsid w:val="00FD1094"/>
    <w:rsid w:val="00FD3011"/>
    <w:rsid w:val="00FD30BA"/>
    <w:rsid w:val="00FD413F"/>
    <w:rsid w:val="00FD4A5C"/>
    <w:rsid w:val="00FD4BB1"/>
    <w:rsid w:val="00FD4D52"/>
    <w:rsid w:val="00FD502F"/>
    <w:rsid w:val="00FD53B3"/>
    <w:rsid w:val="00FD59B2"/>
    <w:rsid w:val="00FD649F"/>
    <w:rsid w:val="00FD6A33"/>
    <w:rsid w:val="00FE005B"/>
    <w:rsid w:val="00FE2F96"/>
    <w:rsid w:val="00FE2FB0"/>
    <w:rsid w:val="00FE3014"/>
    <w:rsid w:val="00FE320D"/>
    <w:rsid w:val="00FE50B8"/>
    <w:rsid w:val="00FE5231"/>
    <w:rsid w:val="00FE627A"/>
    <w:rsid w:val="00FE669A"/>
    <w:rsid w:val="00FE7375"/>
    <w:rsid w:val="00FF0476"/>
    <w:rsid w:val="00FF2118"/>
    <w:rsid w:val="00FF2993"/>
    <w:rsid w:val="00FF2AC4"/>
    <w:rsid w:val="00FF2D42"/>
    <w:rsid w:val="00FF304C"/>
    <w:rsid w:val="00FF3AC0"/>
    <w:rsid w:val="00FF3C0A"/>
    <w:rsid w:val="00FF3CE7"/>
    <w:rsid w:val="00FF5999"/>
    <w:rsid w:val="00FF5B5F"/>
    <w:rsid w:val="00FF6149"/>
    <w:rsid w:val="00FF6A2E"/>
    <w:rsid w:val="00FF782D"/>
    <w:rsid w:val="1E8440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opacity="52429f"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0" w:semiHidden="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iPriority="0" w:semiHidden="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Document Map"/>
    <w:basedOn w:val="1"/>
    <w:link w:val="24"/>
    <w:semiHidden/>
    <w:unhideWhenUsed/>
    <w:uiPriority w:val="0"/>
    <w:rPr>
      <w:rFonts w:ascii="宋体"/>
      <w:sz w:val="18"/>
      <w:szCs w:val="18"/>
    </w:rPr>
  </w:style>
  <w:style w:type="paragraph" w:styleId="3">
    <w:name w:val="annotation text"/>
    <w:basedOn w:val="1"/>
    <w:link w:val="21"/>
    <w:semiHidden/>
    <w:unhideWhenUsed/>
    <w:uiPriority w:val="0"/>
    <w:pPr>
      <w:jc w:val="left"/>
    </w:pPr>
  </w:style>
  <w:style w:type="paragraph" w:styleId="4">
    <w:name w:val="Balloon Text"/>
    <w:basedOn w:val="1"/>
    <w:semiHidden/>
    <w:uiPriority w:val="0"/>
    <w:rPr>
      <w:sz w:val="18"/>
      <w:szCs w:val="18"/>
    </w:rPr>
  </w:style>
  <w:style w:type="paragraph" w:styleId="5">
    <w:name w:val="footer"/>
    <w:basedOn w:val="1"/>
    <w:link w:val="18"/>
    <w:uiPriority w:val="99"/>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20"/>
    <w:unhideWhenUsed/>
    <w:qFormat/>
    <w:uiPriority w:val="0"/>
    <w:pPr>
      <w:snapToGrid w:val="0"/>
      <w:jc w:val="left"/>
    </w:pPr>
    <w:rPr>
      <w:rFonts w:eastAsia="楷体_GB2312"/>
      <w:sz w:val="18"/>
      <w:szCs w:val="18"/>
    </w:rPr>
  </w:style>
  <w:style w:type="paragraph" w:styleId="8">
    <w:name w:val="annotation subject"/>
    <w:basedOn w:val="3"/>
    <w:next w:val="3"/>
    <w:link w:val="22"/>
    <w:semiHidden/>
    <w:unhideWhenUsed/>
    <w:uiPriority w:val="0"/>
    <w:rPr>
      <w:b/>
      <w:bCs/>
    </w:rPr>
  </w:style>
  <w:style w:type="table" w:styleId="10">
    <w:name w:val="Table Grid"/>
    <w:basedOn w:val="9"/>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2">
    <w:name w:val="Hyperlink"/>
    <w:basedOn w:val="11"/>
    <w:unhideWhenUsed/>
    <w:uiPriority w:val="0"/>
    <w:rPr>
      <w:color w:val="0000FF" w:themeColor="hyperlink"/>
      <w:u w:val="single"/>
    </w:rPr>
  </w:style>
  <w:style w:type="character" w:styleId="13">
    <w:name w:val="annotation reference"/>
    <w:basedOn w:val="11"/>
    <w:semiHidden/>
    <w:unhideWhenUsed/>
    <w:uiPriority w:val="0"/>
    <w:rPr>
      <w:sz w:val="21"/>
      <w:szCs w:val="21"/>
    </w:rPr>
  </w:style>
  <w:style w:type="character" w:styleId="14">
    <w:name w:val="footnote reference"/>
    <w:basedOn w:val="11"/>
    <w:unhideWhenUsed/>
    <w:qFormat/>
    <w:uiPriority w:val="0"/>
    <w:rPr>
      <w:vertAlign w:val="superscript"/>
    </w:rPr>
  </w:style>
  <w:style w:type="paragraph" w:customStyle="1" w:styleId="15">
    <w:name w:val="Char Char Char"/>
    <w:basedOn w:val="1"/>
    <w:uiPriority w:val="0"/>
    <w:pPr>
      <w:widowControl/>
      <w:autoSpaceDE w:val="0"/>
      <w:autoSpaceDN w:val="0"/>
      <w:adjustRightInd w:val="0"/>
      <w:jc w:val="left"/>
    </w:pPr>
    <w:rPr>
      <w:rFonts w:ascii="Futura Bk" w:hAnsi="Futura Bk"/>
      <w:kern w:val="0"/>
      <w:sz w:val="20"/>
      <w:szCs w:val="20"/>
      <w:lang w:val="en-GB" w:eastAsia="en-US"/>
    </w:rPr>
  </w:style>
  <w:style w:type="paragraph" w:customStyle="1" w:styleId="16">
    <w:name w:val="Defaul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7">
    <w:name w:val="List Paragraph"/>
    <w:basedOn w:val="1"/>
    <w:qFormat/>
    <w:uiPriority w:val="34"/>
    <w:pPr>
      <w:ind w:firstLine="420" w:firstLineChars="200"/>
    </w:pPr>
  </w:style>
  <w:style w:type="character" w:customStyle="1" w:styleId="18">
    <w:name w:val="页脚 字符"/>
    <w:basedOn w:val="11"/>
    <w:link w:val="5"/>
    <w:uiPriority w:val="99"/>
    <w:rPr>
      <w:kern w:val="2"/>
      <w:sz w:val="18"/>
      <w:szCs w:val="18"/>
    </w:rPr>
  </w:style>
  <w:style w:type="character" w:styleId="19">
    <w:name w:val="Placeholder Text"/>
    <w:basedOn w:val="11"/>
    <w:semiHidden/>
    <w:uiPriority w:val="99"/>
    <w:rPr>
      <w:color w:val="808080"/>
    </w:rPr>
  </w:style>
  <w:style w:type="character" w:customStyle="1" w:styleId="20">
    <w:name w:val="脚注文本 字符"/>
    <w:basedOn w:val="11"/>
    <w:link w:val="7"/>
    <w:qFormat/>
    <w:uiPriority w:val="0"/>
    <w:rPr>
      <w:rFonts w:eastAsia="楷体_GB2312"/>
      <w:kern w:val="2"/>
      <w:sz w:val="18"/>
      <w:szCs w:val="18"/>
    </w:rPr>
  </w:style>
  <w:style w:type="character" w:customStyle="1" w:styleId="21">
    <w:name w:val="批注文字 字符"/>
    <w:basedOn w:val="11"/>
    <w:link w:val="3"/>
    <w:semiHidden/>
    <w:uiPriority w:val="0"/>
    <w:rPr>
      <w:kern w:val="2"/>
      <w:sz w:val="21"/>
      <w:szCs w:val="24"/>
    </w:rPr>
  </w:style>
  <w:style w:type="character" w:customStyle="1" w:styleId="22">
    <w:name w:val="批注主题 字符"/>
    <w:basedOn w:val="21"/>
    <w:link w:val="8"/>
    <w:semiHidden/>
    <w:uiPriority w:val="0"/>
    <w:rPr>
      <w:b/>
      <w:bCs/>
      <w:kern w:val="2"/>
      <w:sz w:val="21"/>
      <w:szCs w:val="24"/>
    </w:rPr>
  </w:style>
  <w:style w:type="paragraph" w:customStyle="1" w:styleId="23">
    <w:name w:val="Revision"/>
    <w:hidden/>
    <w:semiHidden/>
    <w:uiPriority w:val="99"/>
    <w:rPr>
      <w:rFonts w:ascii="Times New Roman" w:hAnsi="Times New Roman" w:eastAsia="宋体" w:cs="Times New Roman"/>
      <w:kern w:val="2"/>
      <w:sz w:val="21"/>
      <w:szCs w:val="24"/>
      <w:lang w:val="en-US" w:eastAsia="zh-CN" w:bidi="ar-SA"/>
    </w:rPr>
  </w:style>
  <w:style w:type="character" w:customStyle="1" w:styleId="24">
    <w:name w:val="文档结构图 字符"/>
    <w:basedOn w:val="11"/>
    <w:link w:val="2"/>
    <w:semiHidden/>
    <w:uiPriority w:val="0"/>
    <w:rPr>
      <w:rFonts w:asci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436"/>
    <customShpInfo spid="_x0000_s1437"/>
    <customShpInfo spid="_x0000_s1397"/>
    <customShpInfo spid="_x0000_s1398"/>
    <customShpInfo spid="_x0000_s1428"/>
    <customShpInfo spid="_x0000_s1388"/>
    <customShpInfo spid="_x0000_s1439"/>
    <customShpInfo spid="_x0000_s144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ECB87-957B-4FE2-8CE9-B26657BE832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1165</Words>
  <Characters>6641</Characters>
  <Lines>55</Lines>
  <Paragraphs>15</Paragraphs>
  <TotalTime>4776</TotalTime>
  <ScaleCrop>false</ScaleCrop>
  <LinksUpToDate>false</LinksUpToDate>
  <CharactersWithSpaces>7791</CharactersWithSpaces>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2019-10-29T06:59:00Z</dcterms:created>
  <dc:creator>泰康人寿</dc:creator>
  <cp:lastModifiedBy>Administrator</cp:lastModifiedBy>
  <cp:lastPrinted>2025-07-15T06:07:00Z</cp:lastPrinted>
  <dcterms:modified xsi:type="dcterms:W3CDTF">2025-08-22T02:06:09Z</dcterms:modified>
  <dc:title>《泰康颐瑞2号（尊赢版）养老年金保险（万能型）》条款</dc:title>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2052-11.8.2.12089</vt:lpwstr>
  </property>
  <property fmtid="{D5CDD505-2E9C-101B-9397-08002B2CF9AE}" pid="4" name="ICV">
    <vt:lpwstr>45DA757DFB66406381BB9940B11DE12B</vt:lpwstr>
  </property>
</Properties>
</file>