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SZWFI6BV79TA0T9GRVRNRL0K7NZMOAGR9S06WJDWXGORTFCTNRBR6C0QFSUTPFIRAXMXOOLIZIXD8PNJQOFTPF8P8RM0WLLB8EOD0HB358A9913B6D9640F13B9820341CDC0434" Type="http://schemas.microsoft.com/office/2006/relationships/officeDocumentMain" Target="docProps/core.xml"/><Relationship Id="SYWM06BU7RSA00TG9GRNKL0Y7N80O7VREJ0XWJDWXGI8TG5T60BJQCJGFSUTPFIRXFM6EOL5ZIA78HXJEFFADF8D89C0WILB8OOD0HB31665AA0AE735EDB9619F3589DAFCD2D7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南银理财珠联璧合鑫逸稳三个月61期封闭式公募人民币理财产品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南银理财珠联璧合鑫逸稳三个月61期封闭式公募人民币理财产品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ZZ700322400557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Z7003224000281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2024年12月11日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2025年03月20日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Y80061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1.0069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2.56%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1,336,320.56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Y81061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2,955,137.25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Y82061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2,190,470.60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Y83061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1.0080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2.96%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265,504.21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Y84061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1.0075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30,047.66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Y86061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2.71%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833,038.02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Y87061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2.66%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978,060.14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Y88061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1.0076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2.81%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223,393.15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64,959.72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359,717.01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341,082.28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565,494.85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-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2025年03月20日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SZWFI6BV79TA0T9GRVRNRL0K7NZMOAGR9S06WJDWXGORTFCTNRBR6C0QFSUTPFIRAXMXOOLIZIXD8PNJQOFTPF8P8RM0WLLB8EOD0HB358A9913B6D9640F13B9820341CDC0434</vt:lpwstr>
  </property>
  <property fmtid="{D5CDD505-2E9C-101B-9397-08002B2CF9AE}" pid="5" name="_KSOProductBuildSID">
    <vt:lpwstr>SYWM06BU7RSA00TG9GRNKL0Y7N80O7VREJ0XWJDWXGI8TG5T60BJQCJGFSUTPFIRXFM6EOL5ZIA78HXJEFFADF8D89C0WILB8OOD0HB31665AA0AE735EDB9619F3589DAFCD2D7</vt:lpwstr>
  </property>
</Properties>
</file>