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Relationship Id="CVWMG6GH79TA06TGRYRNDL007ZQMOXYREE0XLJDWXF8RTQCTN0BR6CJFFY5HPFRRAXMXJOLYZH078PNJRXFAPF8D89EMWMCBAOOODHB3C0C28B5B8818670585D85D9A724BDF4B" Type="http://schemas.microsoft.com/office/2006/relationships/officeDocumentMain" Target="docProps/core.xml"/><Relationship Id="CPWMG6GJ7RYQ0V9GQZR8PLJZ7NZ0OAPREO06BJDWXFMRTQCTZ7BJQC0HFSUTPBRRBNM6OOLKZI678HJJQSFTDFFA8RN0WHWBAEODDHB34F7592A85ACD95731B81857B43CBBC2D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南银理财珠联璧合鑫逸稳三个月135期封闭式公募人民币理财产品发行公告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南银理财珠联璧合鑫逸稳三个月135期封闭式公募人民币理财产品（产品登记编码：Z7003226000146）已于2026年05月26日结束募集，符合产品成立条件，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于2026年05月27日</w:t>
      </w:r>
      <w:r>
        <w:rPr>
          <w:rFonts w:hint="eastAsia" w:ascii="方正仿宋简体" w:eastAsia="方正仿宋简体"/>
          <w:sz w:val="32"/>
          <w:szCs w:val="32"/>
        </w:rPr>
        <w:t>成立。该产品募集金额76,029,745.00元，理财资金将按产品说明书约定进行投资。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CVWMG6GH79TA06TGRYRNDL007ZQMOXYREE0XLJDWXF8RTQCTN0BR6CJFFY5HPFRRAXMXJOLYZH078PNJRXFAPF8D89EMWMCBAOOODHB3C0C28B5B8818670585D85D9A724BDF4B</vt:lpwstr>
  </property>
  <property fmtid="{D5CDD505-2E9C-101B-9397-08002B2CF9AE}" pid="5" name="_KSOProductBuildSID">
    <vt:lpwstr>CPWMG6GJ7RYQ0V9GQZR8PLJZ7NZ0OAPREO06BJDWXFMRTQCTZ7BJQC0HFSUTPBRRBNM6OOLKZI678HJJQSFTDFFA8RN0WHWBAEODDHB34F7592A85ACD95731B81857B43CBBC2D</vt:lpwstr>
  </property>
</Properties>
</file>