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2220C">
      <w:pPr>
        <w:spacing w:line="360" w:lineRule="auto"/>
        <w:ind w:firstLine="560" w:firstLineChars="200"/>
        <w:jc w:val="center"/>
        <w:rPr>
          <w:rFonts w:ascii="方正黑体简体" w:eastAsia="方正黑体简体"/>
          <w:sz w:val="28"/>
          <w:szCs w:val="28"/>
        </w:rPr>
      </w:pPr>
      <w:r>
        <w:rPr>
          <w:rFonts w:hint="eastAsia" w:ascii="方正黑体简体" w:eastAsia="方正黑体简体"/>
          <w:sz w:val="28"/>
          <w:szCs w:val="28"/>
          <w:u/>
        </w:rPr>
        <w:t>关于</w:t>
      </w:r>
      <w:r>
        <w:rPr>
          <w:rFonts w:ascii="方正黑体简体" w:eastAsia="方正黑体简体"/>
          <w:sz w:val="28"/>
          <w:u w:color="auto"/>
        </w:rPr>
        <w:t>南银理财珠联璧合行稳一年定开7M公募人民币理财产品</w:t>
      </w:r>
      <w:r>
        <w:rPr>
          <w:rFonts w:ascii="方正黑体简体" w:eastAsia="方正黑体简体"/>
          <w:sz w:val="28"/>
          <w:u w:color="auto"/>
        </w:rPr>
        <w:t>2026年09月04日</w:t>
      </w:r>
      <w:r>
        <w:rPr>
          <w:rFonts w:hint="eastAsia" w:ascii="方正黑体简体" w:hAnsi="Verdana" w:eastAsia="方正黑体简体" w:cs="Verdana"/>
          <w:sz w:val="28"/>
          <w:szCs w:val="28"/>
          <w:shd w:val="clear" w:color="auto" w:fill="FFFFFF"/>
        </w:rPr>
        <w:t>调整投资非标准化债权类资产</w:t>
      </w:r>
      <w:r>
        <w:rPr>
          <w:rFonts w:hint="eastAsia" w:ascii="方正黑体简体" w:eastAsia="方正黑体简体"/>
          <w:sz w:val="28"/>
          <w:szCs w:val="28"/>
        </w:rPr>
        <w:t>公告</w:t>
      </w:r>
    </w:p>
    <w:p w14:paraId="1D49DB1F">
      <w:pPr>
        <w:spacing w:line="360" w:lineRule="auto"/>
        <w:ind w:firstLine="440" w:firstLineChars="200"/>
        <w:rPr>
          <w:sz w:val="22"/>
        </w:rPr>
      </w:pP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6662"/>
      </w:tblGrid>
      <w:tr w14:paraId="772C5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2"/>
          </w:tcPr>
          <w:p w14:paraId="25FE11BC">
            <w:pPr>
              <w:spacing w:line="360" w:lineRule="auto"/>
              <w:jc w:val="center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kern w:val="0"/>
                <w:sz w:val="24"/>
                <w:szCs w:val="24"/>
              </w:rPr>
              <w:t>1、理财产品基本信息</w:t>
            </w:r>
          </w:p>
        </w:tc>
      </w:tr>
      <w:tr w14:paraId="52BE0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59E796FD">
            <w:pPr>
              <w:spacing w:line="360" w:lineRule="auto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14:paraId="778D1B9E">
            <w:pPr>
              <w:spacing w:line="360" w:lineRule="auto"/>
              <w:rPr>
                <w:rFonts w:ascii="方正仿宋简体" w:hAnsi="仿宋_GB2312" w:eastAsia="方正仿宋简体" w:cs="仿宋_GB2312"/>
                <w:kern w:val="2"/>
                <w:sz w:val="24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kern w:val="2"/>
                <w:sz w:val="24"/>
                <w:szCs w:val="24"/>
              </w:rPr>
              <w:t>南银理财珠联璧合行稳一年定开7M公募人民币理财产品</w:t>
            </w:r>
          </w:p>
        </w:tc>
      </w:tr>
      <w:tr w14:paraId="72C65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20D21BCF">
            <w:pPr>
              <w:spacing w:line="360" w:lineRule="auto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kern w:val="0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14:paraId="15CC147F">
            <w:pPr>
              <w:spacing w:line="360" w:lineRule="auto"/>
              <w:rPr>
                <w:rFonts w:ascii="方正仿宋简体" w:hAnsi="仿宋_GB2312" w:eastAsia="方正仿宋简体" w:cs="仿宋_GB2312"/>
                <w:kern w:val="2"/>
                <w:sz w:val="24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kern w:val="2"/>
                <w:sz w:val="24"/>
                <w:szCs w:val="24"/>
              </w:rPr>
              <w:t>ZC108691844542</w:t>
            </w:r>
          </w:p>
        </w:tc>
      </w:tr>
      <w:tr w14:paraId="7FE8A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16BC143E">
            <w:pPr>
              <w:spacing w:line="360" w:lineRule="auto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kern w:val="0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14:paraId="22F44A2B">
            <w:pPr>
              <w:spacing w:line="360" w:lineRule="auto"/>
              <w:rPr>
                <w:rFonts w:ascii="方正仿宋简体" w:hAnsi="仿宋_GB2312" w:eastAsia="方正仿宋简体" w:cs="仿宋_GB2312"/>
                <w:kern w:val="2"/>
                <w:sz w:val="24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kern w:val="2"/>
                <w:sz w:val="24"/>
                <w:szCs w:val="24"/>
              </w:rPr>
              <w:t>Z10016</w:t>
            </w:r>
          </w:p>
        </w:tc>
      </w:tr>
      <w:tr w14:paraId="403F4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08987FCF">
            <w:pPr>
              <w:spacing w:line="360" w:lineRule="auto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kern w:val="0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14:paraId="413EF1D4">
            <w:pPr>
              <w:spacing w:line="360" w:lineRule="auto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kern w:val="2"/>
                <w:sz w:val="24"/>
                <w:szCs w:val="24"/>
              </w:rPr>
              <w:t>2018年08月03日</w:t>
            </w:r>
          </w:p>
        </w:tc>
      </w:tr>
      <w:tr w14:paraId="59584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77C12EB6">
            <w:pPr>
              <w:spacing w:line="360" w:lineRule="auto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kern w:val="0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14:paraId="52E31847">
            <w:pPr>
              <w:spacing w:line="360" w:lineRule="auto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kern w:val="2"/>
                <w:sz w:val="24"/>
                <w:szCs w:val="24"/>
              </w:rPr>
              <w:t>2026年09月03日</w:t>
            </w:r>
          </w:p>
        </w:tc>
      </w:tr>
    </w:tbl>
    <w:p w14:paraId="4DACF232">
      <w:pPr>
        <w:spacing w:line="360" w:lineRule="auto"/>
        <w:ind w:firstLine="480" w:firstLineChars="200"/>
        <w:rPr>
          <w:rFonts w:ascii="方正仿宋简体" w:eastAsia="方正仿宋简体"/>
          <w:sz w:val="24"/>
          <w:szCs w:val="24"/>
        </w:rPr>
      </w:pPr>
    </w:p>
    <w:p w14:paraId="68813ADE">
      <w:pPr>
        <w:spacing w:line="360" w:lineRule="auto"/>
        <w:ind w:firstLine="480" w:firstLineChars="200"/>
        <w:rPr>
          <w:rFonts w:ascii="方正仿宋简体" w:eastAsia="方正仿宋简体"/>
          <w:sz w:val="24"/>
          <w:szCs w:val="24"/>
        </w:rPr>
      </w:pPr>
    </w:p>
    <w:tbl>
      <w:tblPr>
        <w:tblStyle w:val="4"/>
        <w:tblpPr w:leftFromText="180" w:rightFromText="180" w:vertAnchor="text" w:tblpXSpec="center" w:tblpY="1"/>
        <w:tblOverlap w:val="never"/>
        <w:tblW w:w="1092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1277"/>
        <w:gridCol w:w="1417"/>
        <w:gridCol w:w="1701"/>
        <w:gridCol w:w="1679"/>
        <w:gridCol w:w="1582"/>
        <w:gridCol w:w="1134"/>
        <w:gridCol w:w="1100"/>
      </w:tblGrid>
      <w:tr w14:paraId="608EA8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27" w:type="dxa"/>
            <w:gridSpan w:val="8"/>
            <w:tcBorders>
              <w:tl2br w:val="nil"/>
              <w:tr2bl w:val="nil"/>
            </w:tcBorders>
          </w:tcPr>
          <w:p w14:paraId="3B6A029E">
            <w:pPr>
              <w:spacing w:line="360" w:lineRule="auto"/>
              <w:ind w:firstLine="480" w:firstLineChars="20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2、增加的非标准化资产明细</w:t>
            </w:r>
          </w:p>
        </w:tc>
      </w:tr>
      <w:tr w14:paraId="001638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7" w:type="dxa"/>
            <w:tcBorders>
              <w:tl2br w:val="nil"/>
              <w:tr2bl w:val="nil"/>
            </w:tcBorders>
            <w:vAlign w:val="center"/>
          </w:tcPr>
          <w:p w14:paraId="082F33A0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序号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vAlign w:val="center"/>
          </w:tcPr>
          <w:p w14:paraId="0898B0A8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28560668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6D5DF178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tcBorders>
              <w:tl2br w:val="nil"/>
              <w:tr2bl w:val="nil"/>
            </w:tcBorders>
            <w:vAlign w:val="center"/>
          </w:tcPr>
          <w:p w14:paraId="2079970E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14:paraId="120B9470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059577C9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2A8F4E39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风险状况</w:t>
            </w:r>
          </w:p>
        </w:tc>
      </w:tr>
      <w:tr w14:paraId="12C7A7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7" w:type="dxa"/>
            <w:tcBorders>
              <w:tl2br w:val="nil"/>
              <w:tr2bl w:val="nil"/>
            </w:tcBorders>
          </w:tcPr>
          <w:p w14:paraId="67FE7C4B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/>
                <w:sz w:val="24"/>
                <w:u w:color="auto"/>
              </w:rPr>
              <w:t>-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0DC9111F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7D9398D4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14:paraId="1C5087D3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l2br w:val="nil"/>
              <w:tr2bl w:val="nil"/>
            </w:tcBorders>
          </w:tcPr>
          <w:p w14:paraId="16AF1F18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-</w:t>
            </w:r>
          </w:p>
        </w:tc>
        <w:tc>
          <w:tcPr>
            <w:tcW w:w="1582" w:type="dxa"/>
            <w:tcBorders>
              <w:tl2br w:val="nil"/>
              <w:tr2bl w:val="nil"/>
            </w:tcBorders>
          </w:tcPr>
          <w:p w14:paraId="65637C10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14:paraId="6F6A672E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l2br w:val="nil"/>
              <w:tr2bl w:val="nil"/>
            </w:tcBorders>
          </w:tcPr>
          <w:p w14:paraId="4A07E8D3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-</w:t>
            </w:r>
          </w:p>
        </w:tc>
      </w:tr>
    </w:tbl>
    <w:p w14:paraId="3F74A13D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Style w:val="4"/>
        <w:tblpPr w:leftFromText="180" w:rightFromText="180" w:vertAnchor="text" w:tblpXSpec="center" w:tblpY="1"/>
        <w:tblOverlap w:val="never"/>
        <w:tblW w:w="1083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1221"/>
        <w:gridCol w:w="1417"/>
        <w:gridCol w:w="1701"/>
        <w:gridCol w:w="1574"/>
        <w:gridCol w:w="1695"/>
        <w:gridCol w:w="1272"/>
        <w:gridCol w:w="955"/>
      </w:tblGrid>
      <w:tr w14:paraId="7DAF7D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36" w:type="dxa"/>
            <w:gridSpan w:val="8"/>
            <w:tcBorders>
              <w:tl2br w:val="nil"/>
              <w:tr2bl w:val="nil"/>
            </w:tcBorders>
          </w:tcPr>
          <w:p w14:paraId="62AA56F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bookmarkStart w:id="0" w:name="_GoBack"/>
            <w:r>
              <w:rPr>
                <w:rFonts w:hint="eastAsia" w:ascii="方正仿宋简体" w:eastAsia="方正仿宋简体"/>
                <w:sz w:val="24"/>
                <w:szCs w:val="24"/>
              </w:rPr>
              <w:t>3、减少的非标准化资产明细</w:t>
            </w:r>
          </w:p>
        </w:tc>
      </w:tr>
      <w:tr w14:paraId="50625D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tcBorders>
              <w:tl2br w:val="nil"/>
              <w:tr2bl w:val="nil"/>
            </w:tcBorders>
            <w:vAlign w:val="center"/>
          </w:tcPr>
          <w:p w14:paraId="39A8AE28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序号</w:t>
            </w:r>
          </w:p>
        </w:tc>
        <w:tc>
          <w:tcPr>
            <w:tcW w:w="1221" w:type="dxa"/>
            <w:tcBorders>
              <w:tl2br w:val="nil"/>
              <w:tr2bl w:val="nil"/>
            </w:tcBorders>
            <w:vAlign w:val="center"/>
          </w:tcPr>
          <w:p w14:paraId="013ED513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419B5828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1D97C9C1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tcBorders>
              <w:tl2br w:val="nil"/>
              <w:tr2bl w:val="nil"/>
            </w:tcBorders>
            <w:vAlign w:val="center"/>
          </w:tcPr>
          <w:p w14:paraId="147D1F75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tcBorders>
              <w:tl2br w:val="nil"/>
              <w:tr2bl w:val="nil"/>
            </w:tcBorders>
            <w:vAlign w:val="center"/>
          </w:tcPr>
          <w:p w14:paraId="7BFBDD78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tcBorders>
              <w:tl2br w:val="nil"/>
              <w:tr2bl w:val="nil"/>
            </w:tcBorders>
            <w:vAlign w:val="center"/>
          </w:tcPr>
          <w:p w14:paraId="55239939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tcBorders>
              <w:tl2br w:val="nil"/>
              <w:tr2bl w:val="nil"/>
            </w:tcBorders>
            <w:vAlign w:val="center"/>
          </w:tcPr>
          <w:p w14:paraId="050AF23D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风险状况</w:t>
            </w:r>
          </w:p>
        </w:tc>
      </w:tr>
      <w:tr w14:paraId="783468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tcBorders>
              <w:tl2br w:val="nil"/>
              <w:tr2bl w:val="nil"/>
            </w:tcBorders>
          </w:tcPr>
          <w:p w14:paraId="55408C58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/>
                <w:sz w:val="24"/>
                <w:u w:color="auto"/>
              </w:rPr>
              <w:t>1</w:t>
            </w:r>
          </w:p>
        </w:tc>
        <w:tc>
          <w:tcPr>
            <w:tcW w:w="1221" w:type="dxa"/>
            <w:tcBorders>
              <w:tl2br w:val="nil"/>
              <w:tr2bl w:val="nil"/>
            </w:tcBorders>
          </w:tcPr>
          <w:p w14:paraId="4E010192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2026年09月03日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58B494A5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泰州医药城控股集团有限公司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14:paraId="154C99D2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重庆信托·泰州发展5号集合资金信托计划（第2期）</w:t>
            </w:r>
          </w:p>
        </w:tc>
        <w:tc>
          <w:tcPr>
            <w:tcW w:w="1574" w:type="dxa"/>
            <w:tcBorders>
              <w:tl2br w:val="nil"/>
              <w:tr2bl w:val="nil"/>
            </w:tcBorders>
          </w:tcPr>
          <w:p w14:paraId="3DA1EC4D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0</w:t>
            </w:r>
          </w:p>
        </w:tc>
        <w:tc>
          <w:tcPr>
            <w:tcW w:w="1695" w:type="dxa"/>
            <w:tcBorders>
              <w:tl2br w:val="nil"/>
              <w:tr2bl w:val="nil"/>
            </w:tcBorders>
          </w:tcPr>
          <w:p w14:paraId="750D8383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每季一次</w:t>
            </w:r>
          </w:p>
        </w:tc>
        <w:tc>
          <w:tcPr>
            <w:tcW w:w="1272" w:type="dxa"/>
            <w:tcBorders>
              <w:tl2br w:val="nil"/>
              <w:tr2bl w:val="nil"/>
            </w:tcBorders>
          </w:tcPr>
          <w:p w14:paraId="241C42FA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信托贷款</w:t>
            </w:r>
          </w:p>
        </w:tc>
        <w:tc>
          <w:tcPr>
            <w:tcW w:w="955" w:type="dxa"/>
            <w:tcBorders>
              <w:tl2br w:val="nil"/>
              <w:tr2bl w:val="nil"/>
            </w:tcBorders>
          </w:tcPr>
          <w:p w14:paraId="3E97F746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正常</w:t>
            </w:r>
          </w:p>
        </w:tc>
      </w:tr>
      <w:bookmarkEnd w:id="0"/>
    </w:tbl>
    <w:p w14:paraId="12A1E936">
      <w:pPr>
        <w:spacing w:line="360" w:lineRule="auto"/>
        <w:ind w:firstLine="480" w:firstLineChars="200"/>
        <w:rPr>
          <w:rFonts w:ascii="方正仿宋简体" w:eastAsia="方正仿宋简体"/>
          <w:sz w:val="24"/>
          <w:szCs w:val="24"/>
        </w:rPr>
      </w:pPr>
    </w:p>
    <w:p w14:paraId="313B3A5C">
      <w:pPr>
        <w:spacing w:line="360" w:lineRule="auto"/>
        <w:ind w:firstLine="480" w:firstLineChars="200"/>
        <w:rPr>
          <w:rFonts w:ascii="方正仿宋简体" w:eastAsia="方正仿宋简体"/>
          <w:sz w:val="24"/>
          <w:szCs w:val="24"/>
        </w:rPr>
      </w:pPr>
    </w:p>
    <w:p w14:paraId="27ABF05D">
      <w:pPr>
        <w:spacing w:line="360" w:lineRule="auto"/>
        <w:ind w:firstLine="480" w:firstLineChars="200"/>
        <w:rPr>
          <w:rFonts w:ascii="方正仿宋简体" w:eastAsia="方正仿宋简体"/>
          <w:sz w:val="24"/>
          <w:szCs w:val="24"/>
        </w:rPr>
      </w:pPr>
    </w:p>
    <w:p w14:paraId="65AB6CBE">
      <w:pPr>
        <w:spacing w:line="360" w:lineRule="auto"/>
        <w:ind w:firstLine="440" w:firstLineChars="200"/>
        <w:rPr>
          <w:sz w:val="22"/>
        </w:rPr>
      </w:pPr>
    </w:p>
    <w:p w14:paraId="4CFD9FE6">
      <w:pPr>
        <w:spacing w:line="360" w:lineRule="auto"/>
        <w:ind w:firstLine="480" w:firstLineChars="200"/>
        <w:rPr>
          <w:rFonts w:ascii="方正仿宋简体" w:eastAsia="方正仿宋简体"/>
          <w:sz w:val="24"/>
          <w:szCs w:val="24"/>
        </w:rPr>
      </w:pPr>
      <w:r>
        <w:rPr>
          <w:rFonts w:hint="eastAsia" w:ascii="方正仿宋简体" w:eastAsia="方正仿宋简体"/>
          <w:sz w:val="24"/>
          <w:szCs w:val="24"/>
        </w:rPr>
        <w:t>如您对本公告有任何疑问，可联系本理财产品代销机构或本公司，代销机构及本公司将竭诚为您服务。</w:t>
      </w:r>
    </w:p>
    <w:p w14:paraId="356E9739">
      <w:pPr>
        <w:spacing w:line="360" w:lineRule="auto"/>
        <w:ind w:firstLine="480" w:firstLineChars="200"/>
        <w:rPr>
          <w:sz w:val="22"/>
        </w:rPr>
      </w:pPr>
      <w:r>
        <w:rPr>
          <w:rFonts w:hint="eastAsia" w:ascii="方正仿宋简体" w:eastAsia="方正仿宋简体"/>
          <w:sz w:val="24"/>
          <w:szCs w:val="24"/>
        </w:rPr>
        <w:t>感谢您一直以来的支持和信赖！</w:t>
      </w:r>
    </w:p>
    <w:p w14:paraId="229C68A0">
      <w:pPr>
        <w:pStyle w:val="9"/>
        <w:rPr>
          <w:sz w:val="22"/>
        </w:rPr>
      </w:pPr>
    </w:p>
    <w:p w14:paraId="69A985C0">
      <w:pPr>
        <w:spacing w:line="360" w:lineRule="auto"/>
        <w:ind w:firstLine="480" w:firstLineChars="200"/>
        <w:jc w:val="right"/>
        <w:rPr>
          <w:rFonts w:ascii="方正仿宋简体" w:eastAsia="方正仿宋简体"/>
          <w:sz w:val="24"/>
          <w:szCs w:val="24"/>
        </w:rPr>
      </w:pPr>
      <w:r>
        <w:rPr>
          <w:rFonts w:hint="eastAsia" w:ascii="方正仿宋简体" w:eastAsia="方正仿宋简体"/>
          <w:sz w:val="24"/>
          <w:szCs w:val="24"/>
        </w:rPr>
        <w:t>南银理财有限责任公司</w:t>
      </w:r>
    </w:p>
    <w:p w14:paraId="19A31C21">
      <w:pPr>
        <w:spacing w:line="360" w:lineRule="auto"/>
        <w:ind w:firstLine="480" w:firstLineChars="200"/>
        <w:jc w:val="right"/>
        <w:rPr>
          <w:rFonts w:ascii="方正仿宋简体" w:hAnsi="Verdana" w:eastAsia="方正仿宋简体" w:cs="Verdana"/>
          <w:sz w:val="24"/>
          <w:szCs w:val="24"/>
          <w:shd w:val="clear" w:color="auto" w:fill="FFFFFF"/>
        </w:rPr>
      </w:pPr>
      <w:r>
        <w:rPr>
          <w:rFonts w:hint="eastAsia" w:ascii="方正仿宋简体" w:hAnsi="仿宋_GB2312" w:eastAsia="方正仿宋简体" w:cs="仿宋_GB2312"/>
          <w:sz w:val="24"/>
          <w:szCs w:val="24"/>
        </w:rPr>
        <w:t>2026年09月04日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D7C1B938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  <w:rsid w:val="12403224"/>
    <w:rsid w:val="1D2F4832"/>
    <w:rsid w:val="1F8947E7"/>
    <w:rsid w:val="2C104FF2"/>
    <w:rsid w:val="4004626D"/>
    <w:rsid w:val="40FB4371"/>
    <w:rsid w:val="4F8E345D"/>
    <w:rsid w:val="56C854A7"/>
    <w:rsid w:val="77A539A7"/>
    <w:rsid w:val="7D755AD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customStyle="1" w:styleId="9">
    <w:name w:val="引文目录1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460</Words>
  <Characters>479</Characters>
  <Lines>4</Lines>
  <Paragraphs>1</Paragraphs>
  <TotalTime>324</TotalTime>
  <ScaleCrop>false</ScaleCrop>
  <LinksUpToDate>false</LinksUpToDate>
  <CharactersWithSpaces>479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初涛静</cp:lastModifiedBy>
  <dcterms:modified xsi:type="dcterms:W3CDTF">2026-08-17T03:49:33Z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32F934DC406B4AC1954B0B798E223287_13</vt:lpwstr>
  </property>
  <property fmtid="{D5CDD505-2E9C-101B-9397-08002B2CF9AE}" pid="4" name="KSOTemplateDocerSaveRecord">
    <vt:lpwstr>eyJoZGlkIjoiNGVjMGI2NjNiY2NhZDgyYzA5MTcxNzUxOTEzMzRjMGYiLCJ1c2VySWQiOiI5MjY1NDE4MjAifQ==</vt:lpwstr>
  </property>
</Properties>
</file>