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QWMD6BT7RYA059GQVRNDL0D7ZQMO7GR9F06BJDWXGI8TE5T6DBRVCJVFSVHPD6RAUMXSOLIZHKD8HJJROFTPFFZ8RLMWHCBANOOYHB38537BE6B3EE55F63B2A1A0099B39F16B" Type="http://schemas.microsoft.com/office/2006/relationships/officeDocumentMain" Target="docProps/core.xml"/><Relationship Id="SYWMD6BU7RYA06TGQZRNRL0K7NL0O7VREJ0XOJDWXGHRTQLT68BJICJTFY5HPDRRBXM65OLYZIA78IEJRNFTRF8D8RLMWHLBBJOODHB35441DFFA5B0650C0CBC493D00FF2291C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南银理财珠联璧合鑫逸稳半年40期封闭式公募人民币理财产品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南银理财珠联璧合鑫逸稳半年40期封闭式公募人民币理财产品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ZZ700322301841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Z7003223000160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2023年08月30日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Y70040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1,157,790.66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Y71040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2.93%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1,473,499.11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Y72040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3.04%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2,835,004.59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Y73040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3.14%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579,570.91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40,625.63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395,822.03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225,503.66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2024年03月13日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DQWMD6BT7RYA059GQVRNDL0D7ZQMO7GR9F06BJDWXGI8TE5T6DBRVCJVFSVHPD6RAUMXSOLIZHKD8HJJROFTPFFZ8RLMWHCBANOOYHB38537BE6B3EE55F63B2A1A0099B39F16B</vt:lpwstr>
  </property>
  <property fmtid="{D5CDD505-2E9C-101B-9397-08002B2CF9AE}" pid="5" name="_KSOProductBuildSID">
    <vt:lpwstr>C6DD3AB339384B1DA28EAA353A4C5185</vt:lpwstr>
  </property>
</Properties>
</file>