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VWFD6GP7R9Q0THGQYRNQL0Y7ZEMOAPR9X06BJDWXGORTELTZRBRVCJ6FY5HPFRRBEM6COL9ZHKD8LXJEFFTIF8D8RFMWIWBAOOORHB30E5C95831484B578177FAA729C139AFA" Type="http://schemas.microsoft.com/office/2006/relationships/officeDocumentMain" Target="docProps/core.xml"/><Relationship Id="CQWFY6BT7R9A069GRARNYL007NL0OAGR9S06FJDWXFMRTFLT6IBRVCJAFSUTPFIRXSMXLOZNZH578MEJRUFARFFU89D0WOWB8OOOKHB3C29A355CF0B0007AA7303770F7490EB6"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0" w:line="240" w:lineRule="auto"/>
        <w:ind w:leftChars="0" w:firstLine="440"/>
        <w:jc w:val="center"/>
        <w:rPr>
          <w:rFonts w:hint="default" w:ascii="方正黑体_GBK" w:hAnsi="方正黑体_GBK" w:eastAsia="方正黑体_GBK" w:cs="方正黑体_GBK"/>
          <w:b/>
          <w:bCs/>
          <w:color w:val="auto"/>
          <w:sz w:val="24"/>
          <w:szCs w:val="24"/>
          <w:lang w:val="en-US" w:eastAsia="zh-CN"/>
        </w:rPr>
      </w:pPr>
      <w:r>
        <w:rPr>
          <w:rFonts w:hint="eastAsia" w:ascii="方正黑体_GBK" w:hAnsi="方正黑体_GBK" w:eastAsia="方正黑体_GBK" w:cs="方正黑体_GBK"/>
          <w:b/>
          <w:bCs/>
          <w:color w:val="auto"/>
          <w:sz w:val="24"/>
          <w:szCs w:val="24"/>
          <w:lang w:val="en-US" w:eastAsia="zh-CN"/>
        </w:rPr>
        <w:t>关于调整南银理财部分现金管理类公募人民币理财产品部分要素的公告</w:t>
      </w:r>
    </w:p>
    <w:p>
      <w:pPr>
        <w:numPr>
          <w:ilvl w:val="0"/>
          <w:numId w:val="0"/>
        </w:numPr>
        <w:spacing w:after="0" w:line="240" w:lineRule="auto"/>
        <w:jc w:val="both"/>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尊敬的投资者：</w:t>
      </w:r>
    </w:p>
    <w:p>
      <w:pPr>
        <w:numPr>
          <w:ilvl w:val="0"/>
          <w:numId w:val="0"/>
        </w:numPr>
        <w:spacing w:after="0" w:line="240" w:lineRule="auto"/>
        <w:ind w:leftChars="0" w:firstLine="440"/>
        <w:jc w:val="both"/>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为了更好的提高投资者体验，结合理财产品的实际运作情况，根据理财产品说明书的相关约定，本公司将于2024年3月20日起调整以下现金管理类理财产品“赎回规则”中关于资金到账日的相关表述，具体如下：</w:t>
      </w:r>
    </w:p>
    <w:tbl>
      <w:tblPr>
        <w:tblStyle w:val="5"/>
        <w:tblW w:w="88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84"/>
        <w:gridCol w:w="2195"/>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产品全称</w:t>
            </w:r>
          </w:p>
        </w:tc>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调整前</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6" w:hRule="atLeast"/>
        </w:trPr>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南银理财珠联璧合日日聚鑫现金管理类公募人民币理财产品</w:t>
            </w:r>
            <w:r>
              <w:rPr>
                <w:rFonts w:hint="eastAsia" w:ascii="方正黑体_GBK" w:hAnsi="方正黑体_GBK" w:eastAsia="方正黑体_GBK" w:cs="方正黑体_GBK"/>
                <w:i w:val="0"/>
                <w:iCs w:val="0"/>
                <w:color w:val="000000"/>
                <w:kern w:val="0"/>
                <w:sz w:val="21"/>
                <w:szCs w:val="21"/>
                <w:u w:val="none"/>
                <w:lang w:val="en-US" w:eastAsia="zh-CN" w:bidi="ar"/>
              </w:rPr>
              <w:br w:type="textWrapping"/>
            </w:r>
            <w:r>
              <w:rPr>
                <w:rFonts w:hint="eastAsia" w:ascii="方正黑体_GBK" w:hAnsi="方正黑体_GBK" w:eastAsia="方正黑体_GBK" w:cs="方正黑体_GBK"/>
                <w:i w:val="0"/>
                <w:iCs w:val="0"/>
                <w:color w:val="000000"/>
                <w:kern w:val="0"/>
                <w:sz w:val="21"/>
                <w:szCs w:val="21"/>
                <w:u w:val="none"/>
                <w:lang w:val="en-US" w:eastAsia="zh-CN" w:bidi="ar"/>
              </w:rPr>
              <w:t>南银理财珠联璧合日日聚宝现金管理类公募人民币理财产品</w:t>
            </w:r>
            <w:r>
              <w:rPr>
                <w:rFonts w:hint="eastAsia" w:ascii="方正黑体_GBK" w:hAnsi="方正黑体_GBK" w:eastAsia="方正黑体_GBK" w:cs="方正黑体_GBK"/>
                <w:i w:val="0"/>
                <w:iCs w:val="0"/>
                <w:color w:val="000000"/>
                <w:kern w:val="0"/>
                <w:sz w:val="21"/>
                <w:szCs w:val="21"/>
                <w:u w:val="none"/>
                <w:lang w:val="en-US" w:eastAsia="zh-CN" w:bidi="ar"/>
              </w:rPr>
              <w:br w:type="textWrapping"/>
            </w:r>
            <w:r>
              <w:rPr>
                <w:rFonts w:hint="eastAsia" w:ascii="方正黑体_GBK" w:hAnsi="方正黑体_GBK" w:eastAsia="方正黑体_GBK" w:cs="方正黑体_GBK"/>
                <w:i w:val="0"/>
                <w:iCs w:val="0"/>
                <w:color w:val="000000"/>
                <w:kern w:val="0"/>
                <w:sz w:val="21"/>
                <w:szCs w:val="21"/>
                <w:u w:val="none"/>
                <w:lang w:val="en-US" w:eastAsia="zh-CN" w:bidi="ar"/>
              </w:rPr>
              <w:t>南银理财添瑞日日聚宝2号现金管理类公募人民币理财产品</w:t>
            </w:r>
            <w:r>
              <w:rPr>
                <w:rFonts w:hint="eastAsia" w:ascii="方正黑体_GBK" w:hAnsi="方正黑体_GBK" w:eastAsia="方正黑体_GBK" w:cs="方正黑体_GBK"/>
                <w:i w:val="0"/>
                <w:iCs w:val="0"/>
                <w:color w:val="000000"/>
                <w:kern w:val="0"/>
                <w:sz w:val="21"/>
                <w:szCs w:val="21"/>
                <w:u w:val="none"/>
                <w:lang w:val="en-US" w:eastAsia="zh-CN" w:bidi="ar"/>
              </w:rPr>
              <w:br w:type="textWrapping"/>
            </w:r>
            <w:r>
              <w:rPr>
                <w:rFonts w:hint="eastAsia" w:ascii="方正黑体_GBK" w:hAnsi="方正黑体_GBK" w:eastAsia="方正黑体_GBK" w:cs="方正黑体_GBK"/>
                <w:i w:val="0"/>
                <w:iCs w:val="0"/>
                <w:color w:val="000000"/>
                <w:kern w:val="0"/>
                <w:sz w:val="21"/>
                <w:szCs w:val="21"/>
                <w:u w:val="none"/>
                <w:lang w:val="en-US" w:eastAsia="zh-CN" w:bidi="ar"/>
              </w:rPr>
              <w:t>南银理财添瑞日日聚宝3号现金管理类公募人民币理财产品</w:t>
            </w:r>
            <w:r>
              <w:rPr>
                <w:rFonts w:hint="eastAsia" w:ascii="方正黑体_GBK" w:hAnsi="方正黑体_GBK" w:eastAsia="方正黑体_GBK" w:cs="方正黑体_GBK"/>
                <w:i w:val="0"/>
                <w:iCs w:val="0"/>
                <w:color w:val="000000"/>
                <w:kern w:val="0"/>
                <w:sz w:val="21"/>
                <w:szCs w:val="21"/>
                <w:u w:val="none"/>
                <w:lang w:val="en-US" w:eastAsia="zh-CN" w:bidi="ar"/>
              </w:rPr>
              <w:br w:type="textWrapping"/>
            </w:r>
            <w:r>
              <w:rPr>
                <w:rFonts w:hint="eastAsia" w:ascii="方正黑体_GBK" w:hAnsi="方正黑体_GBK" w:eastAsia="方正黑体_GBK" w:cs="方正黑体_GBK"/>
                <w:i w:val="0"/>
                <w:iCs w:val="0"/>
                <w:color w:val="000000"/>
                <w:kern w:val="0"/>
                <w:sz w:val="21"/>
                <w:szCs w:val="21"/>
                <w:u w:val="none"/>
                <w:lang w:val="en-US" w:eastAsia="zh-CN" w:bidi="ar"/>
              </w:rPr>
              <w:t>南银理财添瑞日日聚宝4号现金管理类公募人民币理财产品</w:t>
            </w:r>
          </w:p>
        </w:tc>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赎回确认日后三个工作日内</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最快于赎回确认日到账</w:t>
            </w:r>
          </w:p>
        </w:tc>
      </w:tr>
    </w:tbl>
    <w:p>
      <w:pPr>
        <w:numPr>
          <w:ilvl w:val="0"/>
          <w:numId w:val="0"/>
        </w:numPr>
        <w:spacing w:after="0" w:line="240" w:lineRule="auto"/>
        <w:jc w:val="both"/>
        <w:rPr>
          <w:rFonts w:hint="default"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 xml:space="preserve">    同时，本公司对理财产品销售文件进行了更新，更新后的理财产品销售文件详见信息披露。</w:t>
      </w:r>
    </w:p>
    <w:p>
      <w:pPr>
        <w:numPr>
          <w:ilvl w:val="0"/>
          <w:numId w:val="0"/>
        </w:numPr>
        <w:spacing w:after="0" w:line="240" w:lineRule="auto"/>
        <w:ind w:firstLine="480" w:firstLineChars="200"/>
        <w:jc w:val="both"/>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如您不同意上述调整，可于本理财产品每个产品开放日通过销售机</w:t>
      </w:r>
      <w:bookmarkStart w:id="0" w:name="_GoBack"/>
      <w:bookmarkEnd w:id="0"/>
      <w:r>
        <w:rPr>
          <w:rFonts w:hint="eastAsia" w:ascii="方正黑体_GBK" w:hAnsi="方正黑体_GBK" w:eastAsia="方正黑体_GBK" w:cs="方正黑体_GBK"/>
          <w:color w:val="auto"/>
          <w:sz w:val="24"/>
          <w:szCs w:val="24"/>
          <w:lang w:val="en-US" w:eastAsia="zh-CN"/>
        </w:rPr>
        <w:t>构向管理人申请赎回。</w:t>
      </w:r>
    </w:p>
    <w:p>
      <w:pPr>
        <w:numPr>
          <w:ilvl w:val="0"/>
          <w:numId w:val="0"/>
        </w:numPr>
        <w:spacing w:after="0" w:line="240" w:lineRule="auto"/>
        <w:ind w:leftChars="0" w:firstLine="440"/>
        <w:jc w:val="both"/>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如您对本公告有任何疑问，可联系本理财产品代销机构或本公司，代销机构及本公司将竭诚为您服务。</w:t>
      </w:r>
    </w:p>
    <w:p>
      <w:pPr>
        <w:numPr>
          <w:ilvl w:val="0"/>
          <w:numId w:val="0"/>
        </w:numPr>
        <w:spacing w:after="0" w:line="240" w:lineRule="auto"/>
        <w:ind w:leftChars="0" w:firstLine="440"/>
        <w:jc w:val="both"/>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感谢您一直以来的支持与信赖！</w:t>
      </w:r>
    </w:p>
    <w:p>
      <w:pPr>
        <w:numPr>
          <w:ilvl w:val="0"/>
          <w:numId w:val="0"/>
        </w:numPr>
        <w:spacing w:after="0" w:line="240" w:lineRule="auto"/>
        <w:ind w:leftChars="0" w:firstLine="440"/>
        <w:jc w:val="both"/>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特此公告。</w:t>
      </w:r>
    </w:p>
    <w:p>
      <w:pPr>
        <w:ind w:firstLine="420"/>
        <w:jc w:val="right"/>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南银理财有限责任公司</w:t>
      </w:r>
    </w:p>
    <w:p>
      <w:pPr>
        <w:ind w:firstLine="420"/>
        <w:jc w:val="right"/>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auto"/>
          <w:sz w:val="24"/>
          <w:szCs w:val="24"/>
          <w:lang w:val="en-US" w:eastAsia="zh-CN"/>
        </w:rPr>
        <w:t>2024年3月18日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MzZhNmM2Y2MxN2VlZmQ5NTNmMWIxY2JkMzcxYzIifQ=="/>
  </w:docVars>
  <w:rsids>
    <w:rsidRoot w:val="00000000"/>
    <w:rsid w:val="014F1C07"/>
    <w:rsid w:val="04F543C3"/>
    <w:rsid w:val="0718536E"/>
    <w:rsid w:val="0B050374"/>
    <w:rsid w:val="0C0149DC"/>
    <w:rsid w:val="0D2F1E7E"/>
    <w:rsid w:val="0EAF2B19"/>
    <w:rsid w:val="11056D1C"/>
    <w:rsid w:val="11D02D37"/>
    <w:rsid w:val="122F2CFD"/>
    <w:rsid w:val="12843A06"/>
    <w:rsid w:val="12E951B2"/>
    <w:rsid w:val="130A55BC"/>
    <w:rsid w:val="143609A9"/>
    <w:rsid w:val="1442037E"/>
    <w:rsid w:val="15FB5DCF"/>
    <w:rsid w:val="167C4F45"/>
    <w:rsid w:val="173E4D36"/>
    <w:rsid w:val="178D191F"/>
    <w:rsid w:val="19662322"/>
    <w:rsid w:val="198163CB"/>
    <w:rsid w:val="1A7840BB"/>
    <w:rsid w:val="1AE6075F"/>
    <w:rsid w:val="1B473270"/>
    <w:rsid w:val="1B832DEB"/>
    <w:rsid w:val="1FB90269"/>
    <w:rsid w:val="26864C7C"/>
    <w:rsid w:val="27B86D0D"/>
    <w:rsid w:val="27CA211B"/>
    <w:rsid w:val="27E67E69"/>
    <w:rsid w:val="285D663A"/>
    <w:rsid w:val="288D2AF0"/>
    <w:rsid w:val="2A431888"/>
    <w:rsid w:val="2C6C78DD"/>
    <w:rsid w:val="2D2B320F"/>
    <w:rsid w:val="2EB2248E"/>
    <w:rsid w:val="2F1F09C9"/>
    <w:rsid w:val="2F5C3A43"/>
    <w:rsid w:val="2F9257C7"/>
    <w:rsid w:val="312E0695"/>
    <w:rsid w:val="319075AF"/>
    <w:rsid w:val="31D50729"/>
    <w:rsid w:val="34DA79F4"/>
    <w:rsid w:val="35042CC3"/>
    <w:rsid w:val="364E31D7"/>
    <w:rsid w:val="38AF1B63"/>
    <w:rsid w:val="3BA31911"/>
    <w:rsid w:val="3CFB68BA"/>
    <w:rsid w:val="3E0C1134"/>
    <w:rsid w:val="3E50558D"/>
    <w:rsid w:val="3EAF5499"/>
    <w:rsid w:val="40E705F7"/>
    <w:rsid w:val="42246753"/>
    <w:rsid w:val="42613503"/>
    <w:rsid w:val="427F3D67"/>
    <w:rsid w:val="4403620D"/>
    <w:rsid w:val="44F83F0D"/>
    <w:rsid w:val="465B196D"/>
    <w:rsid w:val="476A2E5A"/>
    <w:rsid w:val="48A71E8C"/>
    <w:rsid w:val="496951F5"/>
    <w:rsid w:val="4B520881"/>
    <w:rsid w:val="4BE83C5D"/>
    <w:rsid w:val="4C4C1309"/>
    <w:rsid w:val="4C634041"/>
    <w:rsid w:val="4E0062C6"/>
    <w:rsid w:val="4E1C4E14"/>
    <w:rsid w:val="4E7B27EC"/>
    <w:rsid w:val="4E880069"/>
    <w:rsid w:val="4FF2561B"/>
    <w:rsid w:val="50D77086"/>
    <w:rsid w:val="511C58BD"/>
    <w:rsid w:val="51845D15"/>
    <w:rsid w:val="538E7ED0"/>
    <w:rsid w:val="547E387E"/>
    <w:rsid w:val="550873A3"/>
    <w:rsid w:val="55250333"/>
    <w:rsid w:val="55C52FA0"/>
    <w:rsid w:val="560E450F"/>
    <w:rsid w:val="58505DD4"/>
    <w:rsid w:val="58F7058B"/>
    <w:rsid w:val="5D51538B"/>
    <w:rsid w:val="5E4F42F2"/>
    <w:rsid w:val="60430B74"/>
    <w:rsid w:val="63E509D8"/>
    <w:rsid w:val="678E44EB"/>
    <w:rsid w:val="68726B70"/>
    <w:rsid w:val="69C4553E"/>
    <w:rsid w:val="6A0E546F"/>
    <w:rsid w:val="6B937F7A"/>
    <w:rsid w:val="6CE669CA"/>
    <w:rsid w:val="6D3B4E51"/>
    <w:rsid w:val="74BB61F3"/>
    <w:rsid w:val="75A27F62"/>
    <w:rsid w:val="77A97C06"/>
    <w:rsid w:val="7883171E"/>
    <w:rsid w:val="78D43D28"/>
    <w:rsid w:val="79DD4971"/>
    <w:rsid w:val="7A731D22"/>
    <w:rsid w:val="7A7D65B4"/>
    <w:rsid w:val="7C0A73F6"/>
    <w:rsid w:val="7E320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引文目录1"/>
    <w:next w:val="1"/>
    <w:qFormat/>
    <w:uiPriority w:val="0"/>
    <w:pPr>
      <w:widowControl w:val="0"/>
      <w:spacing w:before="100" w:beforeAutospacing="1" w:after="100" w:afterAutospacing="1"/>
      <w:ind w:left="200" w:leftChars="200"/>
      <w:jc w:val="both"/>
      <w:textAlignment w:val="baseline"/>
    </w:pPr>
    <w:rPr>
      <w:rFonts w:ascii="Times New Roman" w:hAnsi="Times New Roman" w:eastAsia="宋体" w:cs="Times New Roman"/>
      <w:kern w:val="2"/>
      <w:sz w:val="21"/>
      <w:szCs w:val="21"/>
      <w:lang w:val="en-US" w:eastAsia="zh-CN" w:bidi="ar-SA"/>
    </w:rPr>
  </w:style>
  <w:style w:type="paragraph" w:styleId="3">
    <w:name w:val="Normal Indent"/>
    <w:basedOn w:val="1"/>
    <w:unhideWhenUsed/>
    <w:qFormat/>
    <w:uiPriority w:val="99"/>
    <w:pPr>
      <w:ind w:firstLine="420" w:firstLineChars="20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11"/>
    <w:basedOn w:val="7"/>
    <w:qFormat/>
    <w:uiPriority w:val="0"/>
    <w:rPr>
      <w:rFonts w:hint="eastAsia" w:ascii="方正黑体_GBK" w:hAnsi="方正黑体_GBK" w:eastAsia="方正黑体_GBK" w:cs="方正黑体_GBK"/>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2474</Words>
  <Characters>2586</Characters>
  <Lines>0</Lines>
  <Paragraphs>0</Paragraphs>
  <TotalTime>3</TotalTime>
  <ScaleCrop>false</ScaleCrop>
  <LinksUpToDate>false</LinksUpToDate>
  <CharactersWithSpaces>2591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2022-02-16T07:37:00Z</dcterms:created>
  <dc:creator>qzx</dc:creator>
  <cp:lastModifiedBy>钱哲贤</cp:lastModifiedBy>
  <cp:lastPrinted>2022-06-16T09:31:00Z</cp:lastPrinted>
  <dcterms:modified xsi:type="dcterms:W3CDTF">2024-03-18T09:32:16Z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DEFD6B0FF79745CAA8EB6685E834532E</vt:lpwstr>
  </property>
  <property fmtid="{D5CDD505-2E9C-101B-9397-08002B2CF9AE}" pid="4" name="_KSOProductBuildMID">
    <vt:lpwstr>SVWFD6GP7R9Q0THGQYRNQL0Y7ZEMOAPR9X06BJDWXGORTELTZRBRVCJ6FY5HPFRRBEM6COL9ZHKD8LXJEFFTIF8D8RFMWIWBAOOORHB30E5C95831484B578177FAA729C139AFA</vt:lpwstr>
  </property>
  <property fmtid="{D5CDD505-2E9C-101B-9397-08002B2CF9AE}" pid="5" name="_KSOProductBuildSID">
    <vt:lpwstr>CQWFY6BT7R9A069GRARNYL007NL0OAGR9S06FJDWXFMRTFLT6IBRVCJAFSUTPFIRXSMXLOZNZH578MEJRUFARFFU89D0WOWB8OOOKHB3C29A355CF0B0007AA7303770F7490EB6</vt:lpwstr>
  </property>
</Properties>
</file>