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DQWMQ6GK7RRQ0VHGQYRNDLJN7NL0OAGREJ0XFJDWXFM8TDLTZ7BRVC0PFSTTPFIRXNMX5OL9ZIW78HJJROFAPFFV89D0WOWB8EOORHB377B0E9D82CC4DCFF1FA548F432AB28E9" Type="http://schemas.microsoft.com/office/2006/relationships/officeDocumentMain" Target="docProps/core.xml"/><Relationship Id="SZWMI6BT7R9A059GRGRNRL0J7ZEMOSGRES06BJDWXFM8TGLTZMBRVC0EFY5HPC6RXNMXOOLKZIX78IEJRNFTIFFZ89Q0WIWBBSOOZHB3A833F698E11B3CF7E2168A3BD633962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简体" w:hAnsi="黑体" w:eastAsia="方正黑体简体"/>
          <w:b/>
          <w:sz w:val="24"/>
        </w:rPr>
      </w:pPr>
      <w:r>
        <w:rPr>
          <w:rFonts w:ascii="方正黑体简体" w:hAnsi="黑体" w:eastAsia="方正黑体简体"/>
          <w:b/>
          <w:sz w:val="24"/>
        </w:rPr>
        <w:t>南银理财珠联璧合鑫逸稳一年100期封闭式公募人民币理财产品</w:t>
      </w:r>
      <w:r>
        <w:rPr>
          <w:rFonts w:hint="eastAsia" w:ascii="方正黑体简体" w:hAnsi="黑体" w:eastAsia="方正黑体简体"/>
          <w:b/>
          <w:sz w:val="24"/>
        </w:rPr>
        <w:t>到期公告</w:t>
      </w: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尊敬的投资者：</w:t>
      </w: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本公司发行的理财产品已到期，现将有关情况公告如下：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南银理财珠联璧合鑫逸稳一年100期封闭式公募人民币理财产品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产品代码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ZZ700322300185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理财登记编码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Z7003223000031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成立日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2023年02月15日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到期日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2024年03月20日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期限（天）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399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产品净值收益表现</w:t>
      </w:r>
    </w:p>
    <w:tbl>
      <w:tblPr>
        <w:tblStyle w:val="8"/>
        <w:tblW w:w="8500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174"/>
        <w:gridCol w:w="1974"/>
        <w:gridCol w:w="2278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0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销售代码</w:t>
            </w:r>
          </w:p>
        </w:tc>
        <w:tc>
          <w:tcPr>
            <w:tcW w:w="21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累计净值</w:t>
            </w:r>
          </w:p>
        </w:tc>
        <w:tc>
          <w:tcPr>
            <w:tcW w:w="1974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参考年化收益率</w:t>
            </w:r>
          </w:p>
        </w:tc>
        <w:tc>
          <w:tcPr>
            <w:tcW w:w="2278" w:type="dxa"/>
          </w:tcPr>
          <w:p>
            <w:pPr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客户收益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Y30100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1.0431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3.94%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3,323,337.58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Y31100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1.0442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4.04%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883,259.71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Y32100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1.0453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4.14%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方正仿宋简体" w:eastAsia="方正仿宋简体" w:cs="方正仿宋简体"/>
              </w:rPr>
              <w:t>51,066,319.62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ind w:firstLine="420" w:firstLineChars="20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收费情况（以下费用包含所有子代码产品费用）：</w:t>
      </w:r>
    </w:p>
    <w:tbl>
      <w:tblPr>
        <w:tblStyle w:val="7"/>
        <w:tblW w:w="8522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费用名称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金额（元）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托管费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273,466.30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固定管理费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1,475,724.93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业绩报酬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1,969,191.06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销售费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1,453,412.08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申购费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hint="eastAsia" w:ascii="方正仿宋简体" w:hAnsi="仿宋_GB2312" w:eastAsia="方正仿宋简体" w:cs="仿宋_GB2312"/>
              </w:rPr>
              <w:t>赎回费</w:t>
            </w:r>
          </w:p>
        </w:tc>
        <w:tc>
          <w:tcPr>
            <w:tcW w:w="4261" w:type="dxa"/>
          </w:tcPr>
          <w:p>
            <w:pPr>
              <w:spacing w:after="156" w:afterLines="50"/>
              <w:jc w:val="center"/>
              <w:rPr>
                <w:rFonts w:ascii="方正仿宋简体" w:hAnsi="仿宋_GB2312" w:eastAsia="方正仿宋简体" w:cs="仿宋_GB2312"/>
              </w:rPr>
            </w:pPr>
            <w:r>
              <w:rPr>
                <w:rFonts w:ascii="方正仿宋简体" w:hAnsi="仿宋_GB2312" w:eastAsia="方正仿宋简体" w:cs="仿宋_GB2312"/>
              </w:rPr>
              <w:t>-</w:t>
            </w:r>
          </w:p>
        </w:tc>
      </w:tr>
    </w:tbl>
    <w:p>
      <w:pPr>
        <w:rPr>
          <w:rFonts w:ascii="方正仿宋简体" w:hAnsi="仿宋_GB2312" w:eastAsia="方正仿宋简体" w:cs="仿宋_GB2312"/>
        </w:rPr>
      </w:pPr>
    </w:p>
    <w:p>
      <w:pPr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注：1.清算资金将划转至投资者指定账户，具体到账日期以产品说明书为准。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2.请继续关注正在销售的其他产品。</w:t>
      </w:r>
    </w:p>
    <w:p>
      <w:pPr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如您对本公告有任何疑问，可联系本理财产品代销机构或本公司，代销机构及本公司将竭诚为您服务。感谢您一直以来对本公司的支持与信赖！</w:t>
      </w:r>
    </w:p>
    <w:p>
      <w:pPr>
        <w:spacing w:after="120"/>
        <w:ind w:firstLine="420"/>
        <w:rPr>
          <w:rFonts w:ascii="方正仿宋简体" w:hAnsi="仿宋_GB2312" w:eastAsia="方正仿宋简体" w:cs="仿宋_GB2312"/>
        </w:rPr>
      </w:pPr>
      <w:r>
        <w:rPr>
          <w:rFonts w:hint="eastAsia" w:ascii="方正仿宋简体" w:hAnsi="仿宋_GB2312" w:eastAsia="方正仿宋简体" w:cs="仿宋_GB2312"/>
        </w:rPr>
        <w:t>特此公告。</w:t>
      </w:r>
    </w:p>
    <w:p>
      <w:pPr>
        <w:spacing w:line="360" w:lineRule="auto"/>
        <w:rPr>
          <w:rFonts w:ascii="方正仿宋简体" w:hAnsi="仿宋_GB2312" w:eastAsia="方正仿宋简体" w:cs="仿宋_GB2312"/>
          <w:sz w:val="24"/>
        </w:rPr>
      </w:pPr>
    </w:p>
    <w:p>
      <w:pPr>
        <w:spacing w:line="360" w:lineRule="auto"/>
        <w:ind w:firstLine="5040" w:firstLineChars="240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hint="eastAsia" w:ascii="方正仿宋简体" w:hAnsi="仿宋_GB2312" w:eastAsia="方正仿宋简体" w:cs="仿宋_GB2312"/>
          <w:szCs w:val="21"/>
        </w:rPr>
        <w:t>南银理财有限责任公司</w:t>
      </w:r>
    </w:p>
    <w:p>
      <w:pPr>
        <w:spacing w:line="360" w:lineRule="auto"/>
        <w:ind w:firstLine="420"/>
        <w:jc w:val="right"/>
        <w:rPr>
          <w:rFonts w:ascii="方正仿宋简体" w:hAnsi="仿宋_GB2312" w:eastAsia="方正仿宋简体" w:cs="仿宋_GB2312"/>
          <w:szCs w:val="21"/>
        </w:rPr>
      </w:pPr>
      <w:r>
        <w:rPr>
          <w:rFonts w:ascii="方正仿宋简体" w:hAnsi="仿宋_GB2312" w:eastAsia="方正仿宋简体" w:cs="仿宋_GB2312"/>
          <w:szCs w:val="21"/>
        </w:rPr>
        <w:t>2024年03月20日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1ZTFiZDE4YTkwYzczMTUwYmI4ZTY3NzY0NjVhNGQifQ=="/>
  </w:docVars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B466521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9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361</Words>
  <Characters>526</Characters>
  <Lines>4</Lines>
  <Paragraphs>1</Paragraphs>
  <TotalTime>55</TotalTime>
  <ScaleCrop>false</ScaleCrop>
  <LinksUpToDate>false</LinksUpToDate>
  <CharactersWithSpaces>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2022-07-26T05:58:00Z</dcterms:created>
  <dc:creator>DELL</dc:creator>
  <cp:lastModifiedBy>njcb</cp:lastModifiedBy>
  <cp:lastPrinted>2021-03-29T09:44:00Z</cp:lastPrinted>
  <dcterms:modified xsi:type="dcterms:W3CDTF">2024-03-20T06:50:19Z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DQWMQ6GK7RRQ0VHGQYRNDLJN7NL0OAGREJ0XFJDWXFM8TDLTZ7BRVC0PFSTTPFIRXNMX5OL9ZIW78HJJROFAPFFV89D0WOWB8EOORHB377B0E9D82CC4DCFF1FA548F432AB28E9</vt:lpwstr>
  </property>
  <property fmtid="{D5CDD505-2E9C-101B-9397-08002B2CF9AE}" pid="5" name="_KSOProductBuildSID">
    <vt:lpwstr>F4FBD0B2FD2E49A58D8B36773A09B498</vt:lpwstr>
  </property>
</Properties>
</file>