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PWFP6GH7RRQ0THGRKR8ILJ87NM0OAVR9E06BJDWXGPRTG5TZIBJICJXFYYTPCRRBNM6OOZ8ZIAD8HEJQEFAQFFV8RL0WIWB8EODQHB3AA9A4C006A9C12170A1962D1D4303A9C" Type="http://schemas.microsoft.com/office/2006/relationships/officeDocumentMain" Target="docProps/core.xml"/><Relationship Id="SVWMP6GC79UA00TGRARNDLJF7NNMOAVREF06NJDWXF8RTDWTZMBRVCJXFYYTP8RRXSMXHOZMZIWD8MEJEFFTQFFV8RMMWMLB8OOODHB3DD4F7468A3B1224D52D19F5AA62D66EF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南银理财珠联璧合鑫逸稳一年159期封闭式公募人民币理财产品发行公告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南银理财珠联璧合鑫逸稳一年159期封闭式公募人民币理财产品（产品登记编码：Z7003224000061）已于2024年03月26日结束募集，符合产品成立条件，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于2024年03月27日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成立。该产品募集金额1,326,404,013.00元，理财资金将按产品说明书约定进行投资。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2024年03月28日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DPWFP6GH7RRQ0THGRKR8ILJ87NM0OAVR9E06BJDWXGPRTG5TZIBJICJXFYYTPCRRBNM6OOZ8ZIAD8HEJQEFAQFFV8RL0WIWB8EODQHB3AA9A4C006A9C12170A1962D1D4303A9C</vt:lpwstr>
  </property>
  <property fmtid="{D5CDD505-2E9C-101B-9397-08002B2CF9AE}" pid="5" name="_KSOProductBuildSID">
    <vt:lpwstr>SVWMP6GC79UA00TGRARNDLJF7NNMOAVREF06NJDWXF8RTDWTZMBRVCJXFYYTP8RRXSMXHOZMZIWD8MEJEFFTQFFV8RMMWMLB8OOODHB3DD4F7468A3B1224D52D19F5AA62D66EF</vt:lpwstr>
  </property>
</Properties>
</file>