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K6GJ7R9A0T9GRAR8IL097ZC0O7GREU0XNJDWXFB8TFCT6MBR6C0EFYYTP86RXSM6COL9ZHJD8MXJRUFTVFFU8RZ0WHLBAEOOMHB3FF8358D2896771E9E605CCCD83DE8512" Type="http://schemas.microsoft.com/office/2006/relationships/officeDocumentMain" Target="docProps/core.xml"/><Relationship Id="CYWMY6BW797A0THGQPR8ML007NZ0OAGR9E0XOJDWXFB8TQCTN0BJQCJUFY9TPDRRBFMXJOZGZHK78HEJROFTRFFX89EMWHCBAXOOQHB38FEFC8057CB51073A59D17345D46A4C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南银理财珠联璧合鑫逸稳两年76期封闭式公募人民币理财产品发行公告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南银理财珠联璧合鑫逸稳两年76期封闭式公募人民币理财产品（产品登记编码：Z7003224000113）已于2024年06月18日结束募集，符合产品成立条件，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于2024年06月19日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成立。该产品募集金额159,043,884.00元，理财资金将按产品说明书约定进行投资。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2024年06月20日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SZWMK6GJ7R9A0T9GRAR8IL097ZC0O7GREU0XNJDWXFB8TFCT6MBR6C0EFYYTP86RXSM6COL9ZHJD8MXJRUFTVFFU8RZ0WHLBAEOOMHB3FF8358D2896771E9E605CCCD83DE8512</vt:lpwstr>
  </property>
  <property fmtid="{D5CDD505-2E9C-101B-9397-08002B2CF9AE}" pid="5" name="_KSOProductBuildSID">
    <vt:lpwstr>CYWMY6BW797A0THGQPR8ML007NZ0OAGR9E0XOJDWXFB8TQCTN0BJQCJUFY9TPDRRBFMXJOZGZHK78HEJROFTRFFX89EMWHCBAXOOQHB38FEFC8057CB51073A59D17345D46A4C9</vt:lpwstr>
  </property>
</Properties>
</file>