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Y6BU79TQ0TTGRKR8DL007ZQMOAGREX0XBJDWXFFRTQWT6IBJQC0PFY5HPDRRBNMXJOL0ZHKD8INJROFADFF78RF0WOWBBJODPHB324AF6FB68A16D2E9FA376A32752E518D" Type="http://schemas.microsoft.com/office/2006/relationships/officeDocumentMain" Target="docProps/core.xml"/><Relationship Id="CQWMQ6GD79VQ0V9GQAR8PL0R7NNMOAVR9S06TJDWXFF8TGCTNRBJIC0QFSUHPDIRBEMXOOZFZH078IXJRXFTYFFU89D0WLLB8SODRHB3BC22CEDAF06707D17EFDDE73C3237D2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南银理财珠联璧合鑫逸稳一年171期封闭式公募人民币理财产品（产品登记编码：Z7003224000115）已于2024年06月18日结束募集，符合产品成立条件，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于2024年06月19日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成立。该产品募集金额1,352,578,928.00元，理财资金将按产品说明书约定进行投资。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2024年06月20日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SKWMY6BU79TQ0TTGRKR8DL007ZQMOAGREX0XBJDWXFFRTQWT6IBJQC0PFY5HPDRRBNMXJOL0ZHKD8INJROFADFF78RF0WOWBBJODPHB324AF6FB68A16D2E9FA376A32752E518D</vt:lpwstr>
  </property>
  <property fmtid="{D5CDD505-2E9C-101B-9397-08002B2CF9AE}" pid="5" name="_KSOProductBuildSID">
    <vt:lpwstr>CQWMQ6GD79VQ0V9GQAR8PL0R7NNMOAVR9S06TJDWXFF8TGCTNRBJIC0QFSUHPDIRBEMXOOZFZH078IXJRXFTYFFU89D0WLLB8SODRHB3BC22CEDAF06707D17EFDDE73C3237D24</vt:lpwstr>
  </property>
</Properties>
</file>