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PWMP6GI797Q0THGRYRNQLJB7NM0OXGREJ0XWJDWXFFRTQWTZMBJICJGFSUTPCRRXXMXLOLYZHJD8PNJEFFTIFFT8RFMWMWB8XODRHB35452DED9A93BBD5BA99305FEE0042989" Type="http://schemas.microsoft.com/office/2006/relationships/officeDocumentMain" Target="docProps/core.xml"/><Relationship Id="SVWMP6GP797A0V9GQYR8IL0C7NNMOXYRQO0XOJDWXFB8TDLTZMBRVCJVFYRTPCRRXUM6OOLSZHJD8LNJQOFTRF8D8RF0WILB8XOOPHB358F083C868AEA9453A7502F9AC7929D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仿宋_GB2312" w:eastAsia="方正黑体简体" w:cs="仿宋_GB2312"/>
          <w:b/>
          <w:bCs/>
          <w:sz w:val="20"/>
          <w:szCs w:val="22"/>
          <w:lang w:val="en-US" w:eastAsia="zh-CN"/>
        </w:rPr>
      </w:pPr>
      <w:r>
        <w:rPr>
          <w:rFonts w:hint="eastAsia" w:ascii="方正黑体简体" w:hAnsi="仿宋_GB2312" w:eastAsia="方正黑体简体" w:cs="仿宋_GB2312"/>
          <w:b/>
          <w:bCs/>
          <w:sz w:val="20"/>
          <w:szCs w:val="22"/>
          <w:lang w:val="en-US" w:eastAsia="zh-CN"/>
        </w:rPr>
        <w:t>南银理财鼎瑞悦稳红利（最低持有1092天）公募人民币理财产品（A34001） 2024年7月10日分红公告</w:t>
      </w:r>
    </w:p>
    <w:p>
      <w:pPr>
        <w:widowControl w:val="0"/>
        <w:spacing w:line="360" w:lineRule="auto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南银理财鼎瑞悦稳红利（最低持有1092天）-A份额（产品登记编码Z7003223000244，内部销售代码A34001）成立于2023年12月14日。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2024-07-10分红如下：</w:t>
      </w:r>
    </w:p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bCs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收益分配基准日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2024年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月1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收益分配基准日份额净值（元）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1.003901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bCs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本次分红方案（元/1份份额）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0.002750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Cs w:val="21"/>
              </w:rPr>
              <w:t>分红权益登记日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-1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除权日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-1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现金红利发放日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  <w:lang w:eastAsia="zh-CN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-1</w:t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产品成立以来分红次数（含本次）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7</w:t>
            </w:r>
          </w:p>
        </w:tc>
      </w:tr>
    </w:tbl>
    <w:p>
      <w:pPr>
        <w:widowControl w:val="0"/>
        <w:spacing w:line="360" w:lineRule="auto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注：[1.本公告所提及的日是指除国家法定节假日和休息日（休息日包括周六、周日）外的日期。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2.本产品公布净值以截位法保留至小数点后六位,实际收益以投资者收到金额为准。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3. 分红对象为权益登记日登记在册的本理财产品份额持有人。权益登记日申请申购的理财份额不享有本次分红，权益登记日申请赎回的理财份额享有本次分红。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特此公告。]</w:t>
      </w:r>
    </w:p>
    <w:p>
      <w:pPr>
        <w:jc w:val="right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 xml:space="preserve">                                             南银理财有限责任公司</w:t>
      </w:r>
    </w:p>
    <w:p>
      <w:pPr>
        <w:jc w:val="right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 xml:space="preserve">                                               2024年07月11日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TFiZDE4YTkwYzczMTUwYmI4ZTY3NzY0NjVhNGQifQ=="/>
  </w:docVars>
  <w:rsids>
    <w:rsidRoot w:val="00000000"/>
    <w:rsid w:val="03896026"/>
    <w:rsid w:val="06966D98"/>
    <w:rsid w:val="207965F1"/>
    <w:rsid w:val="2F080C01"/>
    <w:rsid w:val="3F7A35E8"/>
    <w:rsid w:val="42C8252B"/>
    <w:rsid w:val="61E44842"/>
    <w:rsid w:val="63E930AF"/>
    <w:rsid w:val="6C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516</Characters>
  <Lines>0</Lines>
  <Paragraphs>0</Paragraphs>
  <TotalTime>1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Xhx069</dc:creator>
  <cp:lastModifiedBy>njcb</cp:lastModifiedBy>
  <dcterms:modified xsi:type="dcterms:W3CDTF">2024-07-11T07:58:43Z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29D482627CF44BB58C5BDB516BBD355E_13</vt:lpwstr>
  </property>
  <property fmtid="{D5CDD505-2E9C-101B-9397-08002B2CF9AE}" pid="4" name="_KSOProductBuildMID">
    <vt:lpwstr>SPWMP6GI797Q0THGRYRNQLJB7NM0OXGREJ0XWJDWXFFRTQWTZMBJICJGFSUTPCRRXXMXLOLYZHJD8PNJEFFTIFFT8RFMWMWB8XODRHB35452DED9A93BBD5BA99305FEE0042989</vt:lpwstr>
  </property>
  <property fmtid="{D5CDD505-2E9C-101B-9397-08002B2CF9AE}" pid="5" name="_KSOProductBuildSID">
    <vt:lpwstr>E5588D6866884395813A0F2FD64C8566</vt:lpwstr>
  </property>
</Properties>
</file>