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GWMD6GC7RYQ0THG9ZR8PL0R7ZD0OYVREJ06TJDWXF8RTDWTZ6BJQCJTFYYTPCRRXSMXEOZ8ZIAD8IEJEFFTQFFX89Q0WHWBBJOODHB379A9912DDDCD17A0DB0C5AB11BBF46F2" Type="http://schemas.microsoft.com/office/2006/relationships/officeDocumentMain" Target="docProps/core.xml"/><Relationship Id="CQWF06BV796Q06BGRVRNDL007ZQ0OSVREF06FJDWXF8RTG5T60BRVCJFFYRTP88RXNMX9OZ8ZHJD8HNJQUFT0FF78RFMWLCB8XODPHB3A3536D506C75FCDC8C2C7DBBA1A0815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南银理财珠联璧合鑫逸稳一年174期封闭式公募人民币理财产品发行公告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南银理财珠联璧合鑫逸稳一年174期封闭式公募人民币理财产品（产品登记编码：Z7003224000130）已于2024年07月09日结束募集，符合产品成立条件，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于2024年07月10日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成立。该产品募集金额837,424,885.00元，理财资金将按产品说明书约定进行投资。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2024年07月11日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CGWMD6GC7RYQ0THG9ZR8PL0R7ZD0OYVREJ06TJDWXF8RTDWTZ6BJQCJTFYYTPCRRXSMXEOZ8ZIAD8IEJEFFTQFFX89Q0WHWBBJOODHB379A9912DDDCD17A0DB0C5AB11BBF46F2</vt:lpwstr>
  </property>
  <property fmtid="{D5CDD505-2E9C-101B-9397-08002B2CF9AE}" pid="5" name="_KSOProductBuildSID">
    <vt:lpwstr>CQWF06BV796Q06BGRVRNDL007ZQ0OSVREF06FJDWXF8RTG5T60BRVCJFFYRTP88RXNMX9OZ8ZHJD8HNJQUFT0FF78RFMWLCB8XODPHB3A3536D506C75FCDC8C2C7DBBA1A0815B</vt:lpwstr>
  </property>
</Properties>
</file>