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兴银理财汇利稳健封闭式固收类理财产品</w:t>
      </w:r>
    </w:p>
    <w:p>
      <w:pPr>
        <w:widowControl/>
        <w:spacing w:line="360" w:lineRule="auto"/>
        <w:jc w:val="center"/>
        <w:rPr>
          <w:b/>
          <w:szCs w:val="21"/>
        </w:rPr>
      </w:pPr>
      <w:r>
        <w:rPr>
          <w:rFonts w:hint="eastAsia" w:ascii="黑体" w:hAnsi="黑体" w:eastAsia="黑体"/>
          <w:b/>
          <w:sz w:val="44"/>
          <w:szCs w:val="44"/>
        </w:rPr>
        <w:t>销售文件</w:t>
      </w:r>
    </w:p>
    <w:tbl>
      <w:tblPr>
        <w:tblStyle w:val="8"/>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兴银理财汇利稳健封闭式固收类理财产品投资协议书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兴银理财汇利稳健封闭式固收类理财产品产品说明书</w:t>
            </w:r>
          </w:p>
        </w:tc>
        <w:tc>
          <w:tcPr>
            <w:tcW w:w="2107" w:type="dxa"/>
          </w:tcPr>
          <w:p>
            <w:pPr>
              <w:pStyle w:val="12"/>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兴银理财汇利稳健封闭式固收类理财产品（代理）销售协议书</w:t>
            </w:r>
          </w:p>
        </w:tc>
        <w:tc>
          <w:tcPr>
            <w:tcW w:w="2107" w:type="dxa"/>
          </w:tcPr>
          <w:p>
            <w:pPr>
              <w:pStyle w:val="12"/>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兴银理财汇利稳健封闭式固收类理财产品风险揭示书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兴银理财汇利稳健封闭式固收类理财产品投资者权益须知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12"/>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12"/>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12"/>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10"/>
          <w:rFonts w:ascii="黑体" w:hAnsi="黑体" w:eastAsia="黑体" w:cs="宋体"/>
          <w:sz w:val="44"/>
          <w:szCs w:val="44"/>
        </w:rPr>
      </w:pPr>
      <w:r>
        <w:rPr>
          <w:rStyle w:val="10"/>
          <w:rFonts w:hint="eastAsia" w:ascii="黑体" w:hAnsi="黑体" w:eastAsia="黑体" w:cs="宋体"/>
          <w:sz w:val="44"/>
          <w:szCs w:val="44"/>
        </w:rPr>
        <w:t>兴银理财汇利稳健封闭式固收类理财产品</w:t>
      </w:r>
    </w:p>
    <w:p>
      <w:pPr>
        <w:adjustRightInd w:val="0"/>
        <w:spacing w:line="360" w:lineRule="auto"/>
        <w:jc w:val="center"/>
        <w:rPr>
          <w:rStyle w:val="10"/>
          <w:rFonts w:ascii="黑体" w:hAnsi="黑体" w:eastAsia="黑体" w:cs="宋体"/>
          <w:sz w:val="44"/>
          <w:szCs w:val="44"/>
        </w:rPr>
      </w:pPr>
      <w:r>
        <w:rPr>
          <w:rStyle w:val="10"/>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10"/>
          <w:rFonts w:ascii="宋体" w:hAnsi="宋体"/>
          <w:sz w:val="28"/>
          <w:szCs w:val="28"/>
        </w:rPr>
      </w:pPr>
      <w:bookmarkStart w:id="0" w:name="_Toc123701383"/>
      <w:bookmarkStart w:id="1" w:name="_Toc139992301"/>
      <w:bookmarkStart w:id="2" w:name="_Toc123112224"/>
      <w:bookmarkStart w:id="3" w:name="_Toc139991726"/>
      <w:bookmarkStart w:id="4" w:name="_Toc123112263"/>
      <w:r>
        <w:rPr>
          <w:rStyle w:val="10"/>
          <w:rFonts w:hint="eastAsia" w:ascii="宋体" w:hAnsi="宋体"/>
          <w:sz w:val="28"/>
          <w:szCs w:val="28"/>
        </w:rPr>
        <w:t>理财产品管理人：</w:t>
      </w:r>
      <w:bookmarkEnd w:id="0"/>
      <w:bookmarkEnd w:id="1"/>
      <w:bookmarkEnd w:id="2"/>
      <w:bookmarkEnd w:id="3"/>
      <w:bookmarkEnd w:id="4"/>
      <w:r>
        <w:rPr>
          <w:rStyle w:val="10"/>
          <w:rFonts w:hint="eastAsia" w:ascii="宋体" w:hAnsi="宋体"/>
          <w:sz w:val="28"/>
          <w:szCs w:val="28"/>
        </w:rPr>
        <w:t>兴银理财有限责任公司</w:t>
      </w:r>
    </w:p>
    <w:p>
      <w:pPr>
        <w:adjustRightInd w:val="0"/>
        <w:spacing w:line="360" w:lineRule="auto"/>
        <w:jc w:val="center"/>
        <w:rPr>
          <w:rStyle w:val="10"/>
          <w:rFonts w:ascii="黑体" w:hAnsi="黑体" w:eastAsia="黑体" w:cs="宋体"/>
          <w:sz w:val="28"/>
          <w:szCs w:val="28"/>
        </w:rPr>
      </w:pPr>
      <w:bookmarkStart w:id="5" w:name="_Toc139991727"/>
      <w:bookmarkStart w:id="6" w:name="_Toc123701384"/>
      <w:bookmarkStart w:id="7" w:name="_Toc123112264"/>
      <w:bookmarkStart w:id="8" w:name="_Toc139992302"/>
      <w:bookmarkStart w:id="9" w:name="_Toc123112225"/>
    </w:p>
    <w:bookmarkEnd w:id="5"/>
    <w:bookmarkEnd w:id="6"/>
    <w:bookmarkEnd w:id="7"/>
    <w:bookmarkEnd w:id="8"/>
    <w:bookmarkEnd w:id="9"/>
    <w:p>
      <w:pPr>
        <w:adjustRightInd w:val="0"/>
        <w:spacing w:line="360" w:lineRule="auto"/>
        <w:jc w:val="center"/>
        <w:rPr>
          <w:rStyle w:val="10"/>
          <w:rFonts w:ascii="黑体" w:hAnsi="黑体" w:eastAsia="黑体" w:cs="宋体"/>
          <w:sz w:val="28"/>
          <w:szCs w:val="28"/>
        </w:rPr>
      </w:pPr>
    </w:p>
    <w:p>
      <w:pPr>
        <w:adjustRightInd w:val="0"/>
        <w:spacing w:line="360" w:lineRule="auto"/>
        <w:jc w:val="center"/>
        <w:rPr>
          <w:rStyle w:val="10"/>
          <w:rFonts w:ascii="宋体" w:hAnsi="宋体"/>
          <w:sz w:val="28"/>
          <w:szCs w:val="28"/>
        </w:rPr>
      </w:pPr>
      <w:r>
        <w:rPr>
          <w:rStyle w:val="10"/>
          <w:rFonts w:hint="eastAsia" w:ascii="宋体" w:hAnsi="宋体"/>
          <w:sz w:val="28"/>
          <w:szCs w:val="28"/>
        </w:rPr>
        <w:t>日期</w:t>
      </w:r>
      <w:r>
        <w:rPr>
          <w:rStyle w:val="10"/>
          <w:rFonts w:ascii="宋体" w:hAnsi="宋体"/>
          <w:sz w:val="28"/>
          <w:szCs w:val="28"/>
        </w:rPr>
        <w:t>：</w:t>
      </w:r>
      <w:r>
        <w:rPr>
          <w:rStyle w:val="10"/>
          <w:rFonts w:hint="eastAsia" w:ascii="宋体" w:hAnsi="宋体"/>
          <w:sz w:val="28"/>
          <w:szCs w:val="28"/>
        </w:rPr>
        <w:t>【</w:t>
      </w:r>
      <w:r>
        <w:rPr>
          <w:rStyle w:val="10"/>
          <w:rFonts w:ascii="宋体" w:hAnsi="宋体"/>
          <w:sz w:val="28"/>
          <w:szCs w:val="28"/>
        </w:rPr>
        <w:t>2024</w:t>
      </w:r>
      <w:r>
        <w:rPr>
          <w:rStyle w:val="10"/>
          <w:rFonts w:hint="eastAsia" w:ascii="宋体" w:hAnsi="宋体"/>
          <w:sz w:val="28"/>
          <w:szCs w:val="28"/>
        </w:rPr>
        <w:t>】年【7】月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6"/>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6"/>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6"/>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6"/>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6"/>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6"/>
              <w:snapToGrid w:val="0"/>
              <w:spacing w:before="0" w:beforeAutospacing="0" w:after="0" w:afterAutospacing="0"/>
              <w:jc w:val="both"/>
              <w:rPr>
                <w:rFonts w:ascii="黑体" w:hAnsi="黑体" w:eastAsia="黑体"/>
                <w:bCs/>
                <w:sz w:val="18"/>
                <w:szCs w:val="18"/>
              </w:rPr>
            </w:pPr>
          </w:p>
          <w:p>
            <w:pPr>
              <w:pStyle w:val="6"/>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39991729"/>
      <w:bookmarkStart w:id="12" w:name="_Toc123112227"/>
      <w:bookmarkStart w:id="13" w:name="_Toc12370138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7"/>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4"/>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4"/>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4"/>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【兴银理财汇利稳健一年封闭式</w:t>
            </w:r>
            <w:r>
              <w:rPr>
                <w:rFonts w:ascii="宋体" w:hAnsi="宋体"/>
                <w:bCs/>
                <w:sz w:val="18"/>
                <w:szCs w:val="18"/>
              </w:rPr>
              <w:t>71</w:t>
            </w:r>
            <w:r>
              <w:rPr>
                <w:rFonts w:hint="eastAsia" w:ascii="宋体" w:hAnsi="宋体"/>
                <w:bCs/>
                <w:sz w:val="18"/>
                <w:szCs w:val="18"/>
              </w:rPr>
              <w:t>期固收类理财产品】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【汇利稳健一年封闭式</w:t>
            </w:r>
            <w:r>
              <w:rPr>
                <w:rFonts w:ascii="宋体" w:hAnsi="宋体"/>
                <w:bCs/>
                <w:sz w:val="18"/>
                <w:szCs w:val="18"/>
              </w:rPr>
              <w:t>71</w:t>
            </w:r>
            <w:r>
              <w:rPr>
                <w:rFonts w:hint="eastAsia" w:ascii="宋体" w:hAnsi="宋体"/>
                <w:bCs/>
                <w:sz w:val="18"/>
                <w:szCs w:val="18"/>
              </w:rPr>
              <w:t>期A（纯享款）】（适用【A】类份额</w:t>
            </w:r>
            <w:r>
              <w:rPr>
                <w:rFonts w:ascii="宋体" w:hAnsi="宋体"/>
                <w:bCs/>
                <w:sz w:val="18"/>
                <w:szCs w:val="18"/>
              </w:rPr>
              <w:t>）</w:t>
            </w:r>
          </w:p>
          <w:p>
            <w:pPr>
              <w:spacing w:line="360" w:lineRule="auto"/>
              <w:jc w:val="left"/>
              <w:rPr>
                <w:rFonts w:ascii="宋体" w:hAnsi="宋体"/>
                <w:bCs/>
                <w:sz w:val="18"/>
                <w:szCs w:val="18"/>
              </w:rPr>
            </w:pPr>
            <w:r>
              <w:rPr>
                <w:rFonts w:hint="eastAsia" w:ascii="宋体" w:hAnsi="宋体"/>
                <w:bCs/>
                <w:sz w:val="18"/>
                <w:szCs w:val="18"/>
              </w:rPr>
              <w:t>【汇利稳健一年封闭式</w:t>
            </w:r>
            <w:r>
              <w:rPr>
                <w:rFonts w:ascii="宋体" w:hAnsi="宋体"/>
                <w:bCs/>
                <w:sz w:val="18"/>
                <w:szCs w:val="18"/>
              </w:rPr>
              <w:t>71</w:t>
            </w:r>
            <w:r>
              <w:rPr>
                <w:rFonts w:hint="eastAsia" w:ascii="宋体" w:hAnsi="宋体"/>
                <w:bCs/>
                <w:sz w:val="18"/>
                <w:szCs w:val="18"/>
              </w:rPr>
              <w:t>期现汇</w:t>
            </w:r>
            <w:r>
              <w:rPr>
                <w:rFonts w:ascii="宋体" w:hAnsi="宋体"/>
                <w:bCs/>
                <w:sz w:val="18"/>
                <w:szCs w:val="18"/>
              </w:rPr>
              <w:t>B</w:t>
            </w:r>
            <w:r>
              <w:rPr>
                <w:rFonts w:hint="eastAsia" w:ascii="宋体" w:hAnsi="宋体"/>
                <w:bCs/>
                <w:sz w:val="18"/>
                <w:szCs w:val="18"/>
              </w:rPr>
              <w:t>（纯享款）】（适用【</w:t>
            </w:r>
            <w:r>
              <w:rPr>
                <w:rFonts w:ascii="宋体" w:hAnsi="宋体"/>
                <w:bCs/>
                <w:sz w:val="18"/>
                <w:szCs w:val="18"/>
              </w:rPr>
              <w:t>B</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【汇利稳健一年封闭式</w:t>
            </w:r>
            <w:r>
              <w:rPr>
                <w:rFonts w:ascii="宋体" w:hAnsi="宋体"/>
                <w:bCs/>
                <w:sz w:val="18"/>
                <w:szCs w:val="18"/>
              </w:rPr>
              <w:t>71</w:t>
            </w:r>
            <w:r>
              <w:rPr>
                <w:rFonts w:hint="eastAsia" w:ascii="宋体" w:hAnsi="宋体"/>
                <w:bCs/>
                <w:sz w:val="18"/>
                <w:szCs w:val="18"/>
              </w:rPr>
              <w:t>期现汇C（纯享款）】（适用【</w:t>
            </w:r>
            <w:r>
              <w:rPr>
                <w:rFonts w:ascii="宋体" w:hAnsi="宋体"/>
                <w:bCs/>
                <w:sz w:val="18"/>
                <w:szCs w:val="18"/>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Z7002024001614</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【9S012710】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【9S01271A</w:t>
            </w:r>
            <w:r>
              <w:rPr>
                <w:rFonts w:hint="eastAsia" w:ascii="宋体" w:hAnsi="宋体"/>
                <w:bCs/>
                <w:color w:val="000000" w:themeColor="text1"/>
                <w:sz w:val="18"/>
                <w:szCs w:val="18"/>
                <w14:textFill>
                  <w14:solidFill>
                    <w14:schemeClr w14:val="tx1"/>
                  </w14:solidFill>
                </w14:textFill>
              </w:rPr>
              <w:t>】（适用【A】类份额）</w:t>
            </w:r>
          </w:p>
          <w:p>
            <w:pPr>
              <w:spacing w:line="360" w:lineRule="auto"/>
              <w:jc w:val="lef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【9S01271B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【9S01271C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4"/>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4"/>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13"/>
            <w:spacing w:line="360" w:lineRule="auto"/>
            <w:jc w:val="center"/>
          </w:pPr>
          <w:r>
            <w:rPr>
              <w:rFonts w:hint="eastAsia"/>
              <w:lang w:val="zh-CN"/>
            </w:rPr>
            <w:t>目录</w:t>
          </w:r>
        </w:p>
        <w:p>
          <w:pPr>
            <w:pStyle w:val="5"/>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5"/>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5"/>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5"/>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5"/>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5"/>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5"/>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39991730"/>
      <w:bookmarkStart w:id="15" w:name="_Toc4867"/>
      <w:bookmarkStart w:id="16" w:name="_Toc26897"/>
      <w:bookmarkStart w:id="17" w:name="_Toc29629"/>
      <w:bookmarkStart w:id="18" w:name="_Toc15517"/>
      <w:bookmarkStart w:id="19" w:name="_Toc123701389"/>
      <w:bookmarkStart w:id="20" w:name="_Toc6306"/>
      <w:bookmarkStart w:id="21" w:name="_Toc123112229"/>
      <w:bookmarkStart w:id="22" w:name="_Toc8727"/>
      <w:bookmarkStart w:id="23" w:name="_Toc32639"/>
      <w:bookmarkStart w:id="24" w:name="_Toc30935"/>
      <w:bookmarkStart w:id="25" w:name="_Toc123112268"/>
      <w:bookmarkStart w:id="26" w:name="_Toc23386"/>
      <w:bookmarkStart w:id="27" w:name="_Toc141703880"/>
      <w:bookmarkStart w:id="28" w:name="_Toc4966"/>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13020"/>
      <w:bookmarkStart w:id="33" w:name="_Toc3224"/>
      <w:bookmarkStart w:id="34" w:name="_Toc21301"/>
      <w:bookmarkStart w:id="35" w:name="_Toc15067"/>
      <w:bookmarkStart w:id="36" w:name="_Toc6617"/>
      <w:bookmarkStart w:id="37" w:name="_Toc24860"/>
      <w:bookmarkStart w:id="38" w:name="_Toc258829399"/>
      <w:bookmarkStart w:id="39" w:name="_Toc19592"/>
      <w:bookmarkStart w:id="40" w:name="_Toc819"/>
      <w:bookmarkStart w:id="41" w:name="_Toc22864"/>
      <w:bookmarkStart w:id="42" w:name="_Toc2465"/>
      <w:r>
        <w:rPr>
          <w:rFonts w:hint="eastAsia" w:ascii="Times New Roman"/>
          <w:color w:val="auto"/>
          <w:sz w:val="30"/>
        </w:rPr>
        <w:t>前言</w:t>
      </w:r>
      <w:bookmarkEnd w:id="29"/>
    </w:p>
    <w:p>
      <w:pPr>
        <w:pStyle w:val="14"/>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733"/>
      <w:bookmarkStart w:id="48" w:name="_Toc6683"/>
      <w:bookmarkStart w:id="49" w:name="_Toc6149"/>
      <w:bookmarkStart w:id="50" w:name="_Toc74065740"/>
      <w:bookmarkStart w:id="51" w:name="_Toc545"/>
      <w:bookmarkStart w:id="52" w:name="_Toc22708"/>
      <w:bookmarkStart w:id="53" w:name="_Toc20627"/>
      <w:bookmarkStart w:id="54" w:name="_Toc18631"/>
      <w:bookmarkStart w:id="55" w:name="_Toc24571"/>
      <w:bookmarkStart w:id="56" w:name="_Toc20318"/>
      <w:bookmarkStart w:id="57" w:name="_Toc13288"/>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8"/>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r>
              <w:rPr>
                <w:rFonts w:hint="eastAsia" w:ascii="宋体" w:hAnsi="宋体" w:cs="宋体"/>
                <w:sz w:val="18"/>
                <w:szCs w:val="18"/>
              </w:rPr>
              <w:t>【】类</w:t>
            </w:r>
            <w:r>
              <w:rPr>
                <w:rFonts w:ascii="宋体" w:hAnsi="宋体" w:cs="宋体"/>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rFonts w:hint="eastAsia" w:ascii="宋体" w:hAnsi="宋体"/>
          <w:b/>
          <w:sz w:val="18"/>
          <w:szCs w:val="18"/>
        </w:rPr>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兴银理财汇利稳健封闭式固收类理财产品</w:t>
      </w: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产品说明书</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黑体" w:hAnsi="黑体" w:eastAsia="黑体"/>
          <w:bCs w:val="0"/>
          <w:sz w:val="28"/>
          <w:szCs w:val="28"/>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理财产品管理人：兴银理财有限责任公司</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日期</w:t>
      </w:r>
      <w:r>
        <w:rPr>
          <w:rStyle w:val="10"/>
          <w:rFonts w:ascii="宋体" w:hAnsi="宋体" w:cs="Times New Roman"/>
          <w:sz w:val="32"/>
          <w:szCs w:val="32"/>
        </w:rPr>
        <w:t>：</w:t>
      </w:r>
      <w:r>
        <w:rPr>
          <w:rStyle w:val="10"/>
          <w:rFonts w:hint="eastAsia" w:ascii="宋体" w:hAnsi="宋体" w:cs="Times New Roman"/>
          <w:sz w:val="32"/>
          <w:szCs w:val="32"/>
        </w:rPr>
        <w:t>【2024】年【7】月</w:t>
      </w:r>
    </w:p>
    <w:p>
      <w:pPr>
        <w:adjustRightInd w:val="0"/>
        <w:spacing w:line="360" w:lineRule="auto"/>
        <w:jc w:val="center"/>
        <w:rPr>
          <w:rStyle w:val="10"/>
          <w:rFonts w:ascii="宋体" w:hAnsi="宋体"/>
          <w:sz w:val="32"/>
          <w:szCs w:val="32"/>
        </w:rPr>
      </w:pPr>
    </w:p>
    <w:p>
      <w:pPr>
        <w:pStyle w:val="1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15"/>
            <w:spacing w:line="360" w:lineRule="auto"/>
            <w:jc w:val="center"/>
          </w:pPr>
          <w:bookmarkStart w:id="66" w:name="_Toc78276587"/>
          <w:r>
            <w:rPr>
              <w:lang w:val="zh-CN"/>
            </w:rPr>
            <w:t>目录</w:t>
          </w:r>
        </w:p>
        <w:p>
          <w:pPr>
            <w:pStyle w:val="5"/>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11"/>
              <w:rFonts w:hint="eastAsia" w:ascii="Times New Roman"/>
            </w:rPr>
            <w:t>第一条</w:t>
          </w:r>
          <w:r>
            <w:rPr>
              <w:rStyle w:val="11"/>
              <w:rFonts w:ascii="Times New Roman"/>
            </w:rPr>
            <w:t xml:space="preserve">  </w:t>
          </w:r>
          <w:r>
            <w:rPr>
              <w:rStyle w:val="11"/>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11"/>
              <w:rFonts w:hint="eastAsia" w:hAnsi="宋体"/>
            </w:rPr>
            <w:t>第二条</w:t>
          </w:r>
          <w:r>
            <w:rPr>
              <w:rStyle w:val="11"/>
              <w:rFonts w:hAnsi="宋体"/>
            </w:rPr>
            <w:t xml:space="preserve">  </w:t>
          </w:r>
          <w:r>
            <w:rPr>
              <w:rStyle w:val="11"/>
              <w:rFonts w:hint="eastAsia" w:hAnsi="宋体"/>
            </w:rPr>
            <w:t>理财产品基本情况</w:t>
          </w:r>
          <w:r>
            <w:rPr>
              <w:rStyle w:val="11"/>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11"/>
              <w:rFonts w:hint="eastAsia" w:ascii="Times New Roman"/>
            </w:rPr>
            <w:t>第三条</w:t>
          </w:r>
          <w:r>
            <w:rPr>
              <w:rStyle w:val="11"/>
              <w:rFonts w:ascii="Times New Roman"/>
            </w:rPr>
            <w:t xml:space="preserve">  </w:t>
          </w:r>
          <w:r>
            <w:rPr>
              <w:rStyle w:val="11"/>
              <w:rFonts w:hint="eastAsia" w:ascii="Times New Roman"/>
            </w:rPr>
            <w:t>理财产品的认购</w:t>
          </w:r>
          <w:r>
            <w:tab/>
          </w:r>
          <w:r>
            <w:fldChar w:fldCharType="begin"/>
          </w:r>
          <w:r>
            <w:instrText xml:space="preserve"> PAGEREF _Toc116649651 \h </w:instrText>
          </w:r>
          <w:r>
            <w:fldChar w:fldCharType="separate"/>
          </w:r>
          <w:r>
            <w:t>13</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11"/>
              <w:rFonts w:hint="eastAsia" w:ascii="Times New Roman"/>
            </w:rPr>
            <w:t>第四条</w:t>
          </w:r>
          <w:r>
            <w:rPr>
              <w:rStyle w:val="11"/>
              <w:rFonts w:ascii="Times New Roman"/>
            </w:rPr>
            <w:t xml:space="preserve">  </w:t>
          </w:r>
          <w:r>
            <w:rPr>
              <w:rStyle w:val="11"/>
              <w:rFonts w:hint="eastAsia" w:ascii="Times New Roman"/>
            </w:rPr>
            <w:t>理财产品的申购与赎回</w:t>
          </w:r>
          <w:r>
            <w:tab/>
          </w:r>
          <w:r>
            <w:fldChar w:fldCharType="begin"/>
          </w:r>
          <w:r>
            <w:instrText xml:space="preserve"> PAGEREF _Toc116649652 \h </w:instrText>
          </w:r>
          <w:r>
            <w:fldChar w:fldCharType="separate"/>
          </w:r>
          <w:r>
            <w:t>15</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11"/>
              <w:rFonts w:hint="eastAsia" w:ascii="Times New Roman"/>
            </w:rPr>
            <w:t>第五条</w:t>
          </w:r>
          <w:r>
            <w:rPr>
              <w:rStyle w:val="11"/>
              <w:rFonts w:ascii="Times New Roman"/>
            </w:rPr>
            <w:t xml:space="preserve">  </w:t>
          </w:r>
          <w:r>
            <w:rPr>
              <w:rStyle w:val="11"/>
              <w:rFonts w:hint="eastAsia" w:ascii="Times New Roman"/>
            </w:rPr>
            <w:t>理财产品的投资</w:t>
          </w:r>
          <w:r>
            <w:tab/>
          </w:r>
          <w:r>
            <w:fldChar w:fldCharType="begin"/>
          </w:r>
          <w:r>
            <w:instrText xml:space="preserve"> PAGEREF _Toc116649653 \h </w:instrText>
          </w:r>
          <w:r>
            <w:fldChar w:fldCharType="separate"/>
          </w:r>
          <w:r>
            <w:t>16</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11"/>
              <w:rFonts w:hint="eastAsia" w:ascii="Times New Roman"/>
            </w:rPr>
            <w:t>第六条</w:t>
          </w:r>
          <w:r>
            <w:rPr>
              <w:rStyle w:val="11"/>
              <w:rFonts w:ascii="Times New Roman"/>
            </w:rPr>
            <w:t xml:space="preserve">  </w:t>
          </w:r>
          <w:r>
            <w:rPr>
              <w:rStyle w:val="11"/>
              <w:rFonts w:hint="eastAsia" w:ascii="Times New Roman"/>
            </w:rPr>
            <w:t>理财产品的资产</w:t>
          </w:r>
          <w:r>
            <w:tab/>
          </w:r>
          <w:r>
            <w:fldChar w:fldCharType="begin"/>
          </w:r>
          <w:r>
            <w:instrText xml:space="preserve"> PAGEREF _Toc116649654 \h </w:instrText>
          </w:r>
          <w:r>
            <w:fldChar w:fldCharType="separate"/>
          </w:r>
          <w:r>
            <w:t>19</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11"/>
              <w:rFonts w:hint="eastAsia" w:ascii="Times New Roman"/>
            </w:rPr>
            <w:t>第七条</w:t>
          </w:r>
          <w:r>
            <w:rPr>
              <w:rStyle w:val="11"/>
              <w:rFonts w:ascii="Times New Roman"/>
            </w:rPr>
            <w:t xml:space="preserve">  </w:t>
          </w:r>
          <w:r>
            <w:rPr>
              <w:rStyle w:val="11"/>
              <w:rFonts w:hint="eastAsia" w:ascii="Times New Roman"/>
            </w:rPr>
            <w:t>理财产品项下资产的估值</w:t>
          </w:r>
          <w:r>
            <w:tab/>
          </w:r>
          <w:r>
            <w:fldChar w:fldCharType="begin"/>
          </w:r>
          <w:r>
            <w:instrText xml:space="preserve"> PAGEREF _Toc116649655 \h </w:instrText>
          </w:r>
          <w:r>
            <w:fldChar w:fldCharType="separate"/>
          </w:r>
          <w:r>
            <w:t>20</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11"/>
              <w:rFonts w:hint="eastAsia" w:ascii="Times New Roman"/>
            </w:rPr>
            <w:t>第八条</w:t>
          </w:r>
          <w:r>
            <w:rPr>
              <w:rStyle w:val="11"/>
              <w:rFonts w:ascii="Times New Roman"/>
            </w:rPr>
            <w:t xml:space="preserve">  </w:t>
          </w:r>
          <w:r>
            <w:rPr>
              <w:rStyle w:val="11"/>
              <w:rFonts w:hint="eastAsia" w:ascii="Times New Roman"/>
            </w:rPr>
            <w:t>理财产品的利益分配</w:t>
          </w:r>
          <w:r>
            <w:tab/>
          </w:r>
          <w:r>
            <w:fldChar w:fldCharType="begin"/>
          </w:r>
          <w:r>
            <w:instrText xml:space="preserve"> PAGEREF _Toc116649656 \h </w:instrText>
          </w:r>
          <w:r>
            <w:fldChar w:fldCharType="separate"/>
          </w:r>
          <w:r>
            <w:t>24</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11"/>
              <w:rFonts w:hint="eastAsia" w:ascii="Times New Roman"/>
            </w:rPr>
            <w:t>第九条</w:t>
          </w:r>
          <w:r>
            <w:rPr>
              <w:rStyle w:val="11"/>
              <w:rFonts w:ascii="Times New Roman"/>
            </w:rPr>
            <w:t xml:space="preserve">  </w:t>
          </w:r>
          <w:r>
            <w:rPr>
              <w:rStyle w:val="11"/>
              <w:rFonts w:hint="eastAsia" w:ascii="Times New Roman"/>
            </w:rPr>
            <w:t>理财产品的费用与税收</w:t>
          </w:r>
          <w:r>
            <w:tab/>
          </w:r>
          <w:r>
            <w:fldChar w:fldCharType="begin"/>
          </w:r>
          <w:r>
            <w:instrText xml:space="preserve"> PAGEREF _Toc116649657 \h </w:instrText>
          </w:r>
          <w:r>
            <w:fldChar w:fldCharType="separate"/>
          </w:r>
          <w:r>
            <w:t>25</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11"/>
              <w:rFonts w:hint="eastAsia"/>
            </w:rPr>
            <w:t>第十条</w:t>
          </w:r>
          <w:r>
            <w:rPr>
              <w:rStyle w:val="11"/>
            </w:rPr>
            <w:t xml:space="preserve">  </w:t>
          </w:r>
          <w:r>
            <w:rPr>
              <w:rStyle w:val="11"/>
              <w:rFonts w:hint="eastAsia"/>
            </w:rPr>
            <w:t>理财产品的终止与清算</w:t>
          </w:r>
          <w:r>
            <w:tab/>
          </w:r>
          <w:r>
            <w:fldChar w:fldCharType="begin"/>
          </w:r>
          <w:r>
            <w:instrText xml:space="preserve"> PAGEREF _Toc116649658 \h </w:instrText>
          </w:r>
          <w:r>
            <w:fldChar w:fldCharType="separate"/>
          </w:r>
          <w:r>
            <w:t>28</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11"/>
              <w:rFonts w:hint="eastAsia" w:ascii="Times New Roman"/>
            </w:rPr>
            <w:t>第十一条</w:t>
          </w:r>
          <w:r>
            <w:rPr>
              <w:rStyle w:val="11"/>
              <w:rFonts w:ascii="Times New Roman"/>
            </w:rPr>
            <w:t xml:space="preserve">  </w:t>
          </w:r>
          <w:r>
            <w:rPr>
              <w:rStyle w:val="11"/>
              <w:rFonts w:hint="eastAsia" w:ascii="Times New Roman"/>
            </w:rPr>
            <w:t>理财产品的信息披露</w:t>
          </w:r>
          <w:r>
            <w:tab/>
          </w:r>
          <w:r>
            <w:fldChar w:fldCharType="begin"/>
          </w:r>
          <w:r>
            <w:instrText xml:space="preserve"> PAGEREF _Toc116649659 \h </w:instrText>
          </w:r>
          <w:r>
            <w:fldChar w:fldCharType="separate"/>
          </w:r>
          <w:r>
            <w:t>30</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11"/>
              <w:rFonts w:hint="eastAsia" w:ascii="Times New Roman"/>
            </w:rPr>
            <w:t>第十二条</w:t>
          </w:r>
          <w:r>
            <w:rPr>
              <w:rStyle w:val="11"/>
              <w:rFonts w:ascii="Times New Roman"/>
            </w:rPr>
            <w:t xml:space="preserve">  </w:t>
          </w:r>
          <w:r>
            <w:rPr>
              <w:rStyle w:val="11"/>
              <w:rFonts w:hint="eastAsia" w:ascii="Times New Roman"/>
            </w:rPr>
            <w:t>理财产品的风险揭示</w:t>
          </w:r>
          <w:r>
            <w:tab/>
          </w:r>
          <w:r>
            <w:fldChar w:fldCharType="begin"/>
          </w:r>
          <w:r>
            <w:instrText xml:space="preserve"> PAGEREF _Toc116649660 \h </w:instrText>
          </w:r>
          <w:r>
            <w:fldChar w:fldCharType="separate"/>
          </w:r>
          <w:r>
            <w:t>32</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67"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66"/>
      <w:bookmarkEnd w:id="67"/>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 xml:space="preserve">1988年，于2005年开展资产托管业务，具备理财产品托管资格。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1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1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：指产品管理人向投资者提供的，用于描述产品特征，约定权利义务的文件。具体指《兴银理财汇利稳健封闭式固收类理财产品销售文件》，包括《投资协议书》《产品说明书》《（代理）销售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《投资协议书》：指管理人统一编制的《兴银理财汇利稳健封闭式固收类理财产品投资协议书》，以及对该文件的有效修改或补充。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）《产品说明书》：指管理人统一编制的《兴银理财汇利稳健封闭式固收类理财产品产品说明书》，以及对该文件的有效修改或补充。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（4）《（代理）销售协议书》：指管理人统一编制的《兴银理财汇利稳健封闭式固收类理财产品（代理）销售协议书》或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的《兴银理财汇利稳健封闭式固收类理财产品（代理）销售协议书》（文件名称以代理销售机构实际编制为准），以及对该文件的有效修改或补充。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）《风险揭示书》：指管理人统一编制的《兴银理财汇利稳健封闭式固收类理财产品风险揭示书》或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的《兴银理财汇利稳健封闭式固收类理财产品风险揭示书》（文件名称以代理销售机构实际编制为准），以及对该文件的有效修改或补充。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）《投资者权益须知》：指管理人统一编制的《兴银理财汇利稳健封闭式固收类理财产品投资者权益须知》或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《兴银理财汇利稳健封闭式固收类理财产品投资者权益须知》（文件名称以代理销售机构实际编制为准），以及对该文件的有效修改或补充。</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份理财产品份额以美元计价的价格。理财产品份额净值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1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1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2）交易日：指银行间市场、证券交易所市场、境外债券OTC市场共同的正常开盘交易日。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工作日：指中国法定工作日且为中国香港及美国的法定工作日。</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1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14"/>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cs="仿宋_GB2312" w:asciiTheme="minorEastAsia" w:hAnsiTheme="minorEastAsia" w:eastAsiaTheme="minorEastAsia"/>
          <w:bCs/>
          <w:color w:val="auto"/>
          <w:sz w:val="18"/>
          <w:szCs w:val="18"/>
        </w:rPr>
        <w:t>★</w:t>
      </w:r>
      <w:r>
        <w:rPr>
          <w:rFonts w:asciiTheme="minorEastAsia" w:hAnsiTheme="minorEastAsia" w:eastAsiaTheme="minorEastAsia"/>
          <w:sz w:val="18"/>
          <w:szCs w:val="18"/>
        </w:rPr>
        <w:t>认购费：</w:t>
      </w:r>
      <w:r>
        <w:rPr>
          <w:rFonts w:hint="eastAsia" w:asciiTheme="minorEastAsia" w:hAnsiTheme="minorEastAsia" w:eastAsiaTheme="minorEastAsia"/>
          <w:sz w:val="18"/>
          <w:szCs w:val="18"/>
        </w:rPr>
        <w:t>指</w:t>
      </w:r>
      <w:r>
        <w:rPr>
          <w:rFonts w:asciiTheme="minorEastAsia" w:hAnsiTheme="minorEastAsia" w:eastAsiaTheme="minorEastAsia"/>
          <w:sz w:val="18"/>
          <w:szCs w:val="18"/>
        </w:rPr>
        <w:t>投资者认购产品时</w:t>
      </w:r>
      <w:r>
        <w:rPr>
          <w:rFonts w:hint="eastAsia" w:asciiTheme="minorEastAsia" w:hAnsiTheme="minorEastAsia" w:eastAsiaTheme="minorEastAsia"/>
          <w:sz w:val="18"/>
          <w:szCs w:val="18"/>
        </w:rPr>
        <w:t>需缴纳的费用。</w:t>
      </w:r>
    </w:p>
    <w:p>
      <w:pPr>
        <w:pStyle w:val="14"/>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销售服务费：指因理财产品销售行为产生的费用。</w:t>
      </w:r>
    </w:p>
    <w:p>
      <w:pPr>
        <w:pStyle w:val="14"/>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3）</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投资管理费：指因理财产品投资管理产生的费用。</w:t>
      </w:r>
    </w:p>
    <w:p>
      <w:pPr>
        <w:pStyle w:val="14"/>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4）</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产品托管费：指因理财产品进行托管产生的费用。</w:t>
      </w:r>
    </w:p>
    <w:p>
      <w:pPr>
        <w:pStyle w:val="14"/>
        <w:spacing w:line="360" w:lineRule="auto"/>
        <w:ind w:firstLine="360" w:firstLineChars="200"/>
        <w:rPr>
          <w:rFonts w:asciiTheme="minorEastAsia" w:hAnsiTheme="minorEastAsia" w:eastAsiaTheme="minorEastAsia"/>
          <w:bCs/>
          <w:color w:val="auto"/>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5）</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超额业绩报酬</w:t>
      </w:r>
      <w:r>
        <w:rPr>
          <w:rFonts w:asciiTheme="minorEastAsia" w:hAnsiTheme="minorEastAsia" w:eastAsiaTheme="minorEastAsia"/>
          <w:sz w:val="18"/>
          <w:szCs w:val="18"/>
        </w:rPr>
        <w:t>/业绩报酬：指产品管理人依照理财产品销售文件</w:t>
      </w:r>
      <w:r>
        <w:rPr>
          <w:rFonts w:hint="eastAsia" w:asciiTheme="minorEastAsia" w:hAnsiTheme="minorEastAsia" w:eastAsiaTheme="minorEastAsia"/>
          <w:sz w:val="18"/>
          <w:szCs w:val="18"/>
        </w:rPr>
        <w:t>约定规则收取的浮动性质的管理费用。</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（2）美元：指美元。</w:t>
      </w:r>
    </w:p>
    <w:p>
      <w:pPr>
        <w:pStyle w:val="14"/>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spacing w:line="360" w:lineRule="auto"/>
        <w:ind w:firstLine="560" w:firstLineChars="200"/>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68" w:name="_Toc79154665"/>
      <w:bookmarkStart w:id="69" w:name="_Toc116649650"/>
      <w:r>
        <w:rPr>
          <w:rFonts w:hint="eastAsia" w:hAnsi="宋体"/>
          <w:sz w:val="28"/>
          <w:szCs w:val="28"/>
        </w:rPr>
        <w:t>第二条  理财产品基本情况</w:t>
      </w:r>
      <w:bookmarkEnd w:id="68"/>
      <w:r>
        <w:rPr>
          <w:rFonts w:hint="eastAsia" w:hAnsi="宋体"/>
          <w:sz w:val="28"/>
          <w:szCs w:val="28"/>
        </w:rPr>
        <w:t xml:space="preserve"> </w:t>
      </w:r>
      <w:bookmarkEnd w:id="69"/>
    </w:p>
    <w:tbl>
      <w:tblPr>
        <w:tblStyle w:val="7"/>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【兴银理财汇利稳健一年封闭式</w:t>
            </w:r>
            <w:r>
              <w:rPr>
                <w:rFonts w:ascii="宋体" w:hAnsi="宋体"/>
                <w:bCs/>
                <w:sz w:val="18"/>
                <w:szCs w:val="18"/>
              </w:rPr>
              <w:t>71</w:t>
            </w:r>
            <w:r>
              <w:rPr>
                <w:rFonts w:hint="eastAsia" w:ascii="宋体" w:hAnsi="宋体"/>
                <w:bCs/>
                <w:sz w:val="18"/>
                <w:szCs w:val="18"/>
              </w:rPr>
              <w:t>期固收类理财产品】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【汇利稳健一年封闭式</w:t>
            </w:r>
            <w:r>
              <w:rPr>
                <w:rFonts w:ascii="宋体" w:hAnsi="宋体"/>
                <w:bCs/>
                <w:sz w:val="18"/>
                <w:szCs w:val="18"/>
              </w:rPr>
              <w:t>71</w:t>
            </w:r>
            <w:r>
              <w:rPr>
                <w:rFonts w:hint="eastAsia" w:ascii="宋体" w:hAnsi="宋体"/>
                <w:bCs/>
                <w:sz w:val="18"/>
                <w:szCs w:val="18"/>
              </w:rPr>
              <w:t>期A（纯享款）】（适用【A】类份额</w:t>
            </w:r>
            <w:r>
              <w:rPr>
                <w:rFonts w:ascii="宋体" w:hAnsi="宋体"/>
                <w:bCs/>
                <w:sz w:val="18"/>
                <w:szCs w:val="18"/>
              </w:rPr>
              <w:t>）</w:t>
            </w:r>
          </w:p>
          <w:p>
            <w:pPr>
              <w:spacing w:line="360" w:lineRule="auto"/>
              <w:jc w:val="left"/>
              <w:rPr>
                <w:rFonts w:ascii="宋体" w:hAnsi="宋体"/>
                <w:bCs/>
                <w:sz w:val="18"/>
                <w:szCs w:val="18"/>
              </w:rPr>
            </w:pPr>
            <w:r>
              <w:rPr>
                <w:rFonts w:hint="eastAsia" w:ascii="宋体" w:hAnsi="宋体"/>
                <w:bCs/>
                <w:sz w:val="18"/>
                <w:szCs w:val="18"/>
              </w:rPr>
              <w:t>【汇利稳健一年封闭式</w:t>
            </w:r>
            <w:r>
              <w:rPr>
                <w:rFonts w:ascii="宋体" w:hAnsi="宋体"/>
                <w:bCs/>
                <w:sz w:val="18"/>
                <w:szCs w:val="18"/>
              </w:rPr>
              <w:t>71</w:t>
            </w:r>
            <w:r>
              <w:rPr>
                <w:rFonts w:hint="eastAsia" w:ascii="宋体" w:hAnsi="宋体"/>
                <w:bCs/>
                <w:sz w:val="18"/>
                <w:szCs w:val="18"/>
              </w:rPr>
              <w:t>期现汇</w:t>
            </w:r>
            <w:r>
              <w:rPr>
                <w:rFonts w:ascii="宋体" w:hAnsi="宋体"/>
                <w:bCs/>
                <w:sz w:val="18"/>
                <w:szCs w:val="18"/>
              </w:rPr>
              <w:t>B</w:t>
            </w:r>
            <w:r>
              <w:rPr>
                <w:rFonts w:hint="eastAsia" w:ascii="宋体" w:hAnsi="宋体"/>
                <w:bCs/>
                <w:sz w:val="18"/>
                <w:szCs w:val="18"/>
              </w:rPr>
              <w:t>（纯享款）】（适用【</w:t>
            </w:r>
            <w:r>
              <w:rPr>
                <w:rFonts w:ascii="宋体" w:hAnsi="宋体"/>
                <w:bCs/>
                <w:sz w:val="18"/>
                <w:szCs w:val="18"/>
              </w:rPr>
              <w:t>B</w:t>
            </w:r>
            <w:r>
              <w:rPr>
                <w:rFonts w:hint="eastAsia" w:ascii="宋体" w:hAnsi="宋体"/>
                <w:bCs/>
                <w:sz w:val="18"/>
                <w:szCs w:val="18"/>
              </w:rPr>
              <w:t>】类份额）</w:t>
            </w:r>
          </w:p>
          <w:p>
            <w:pPr>
              <w:spacing w:line="360" w:lineRule="auto"/>
              <w:jc w:val="left"/>
              <w:rPr>
                <w:rFonts w:ascii="宋体" w:hAnsi="宋体"/>
                <w:bCs/>
                <w:sz w:val="18"/>
                <w:szCs w:val="18"/>
              </w:rPr>
            </w:pPr>
            <w:r>
              <w:rPr>
                <w:rFonts w:hint="eastAsia" w:ascii="宋体" w:hAnsi="宋体"/>
                <w:bCs/>
                <w:sz w:val="18"/>
                <w:szCs w:val="18"/>
              </w:rPr>
              <w:t>【汇利稳健一年封闭式</w:t>
            </w:r>
            <w:r>
              <w:rPr>
                <w:rFonts w:ascii="宋体" w:hAnsi="宋体"/>
                <w:bCs/>
                <w:sz w:val="18"/>
                <w:szCs w:val="18"/>
              </w:rPr>
              <w:t>71</w:t>
            </w:r>
            <w:r>
              <w:rPr>
                <w:rFonts w:hint="eastAsia" w:ascii="宋体" w:hAnsi="宋体"/>
                <w:bCs/>
                <w:sz w:val="18"/>
                <w:szCs w:val="18"/>
              </w:rPr>
              <w:t>期现汇C（纯享款）】（适用【</w:t>
            </w:r>
            <w:r>
              <w:rPr>
                <w:rFonts w:ascii="宋体" w:hAnsi="宋体"/>
                <w:bCs/>
                <w:sz w:val="18"/>
                <w:szCs w:val="18"/>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Z7002024001614</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【9S012710】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vAlign w:val="center"/>
          </w:tcPr>
          <w:p>
            <w:pPr>
              <w:spacing w:line="360" w:lineRule="auto"/>
              <w:jc w:val="lef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【9S01271A</w:t>
            </w:r>
            <w:r>
              <w:rPr>
                <w:rFonts w:hint="eastAsia" w:ascii="宋体" w:hAnsi="宋体"/>
                <w:bCs/>
                <w:color w:val="000000" w:themeColor="text1"/>
                <w:sz w:val="18"/>
                <w:szCs w:val="18"/>
                <w14:textFill>
                  <w14:solidFill>
                    <w14:schemeClr w14:val="tx1"/>
                  </w14:solidFill>
                </w14:textFill>
              </w:rPr>
              <w:t>】（适用【A】类份额）</w:t>
            </w:r>
          </w:p>
          <w:p>
            <w:pPr>
              <w:spacing w:line="360" w:lineRule="auto"/>
              <w:jc w:val="lef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【9S01271B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【9S01271C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美元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color w:val="000000" w:themeColor="text1"/>
                <w:sz w:val="18"/>
                <w:szCs w:val="18"/>
                <w14:textFill>
                  <w14:solidFill>
                    <w14:schemeClr w14:val="tx1"/>
                  </w14:solidFill>
                </w14:textFill>
              </w:rPr>
              <w:t>境内理财产品托管人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color w:val="000000" w:themeColor="text1"/>
                <w:sz w:val="18"/>
                <w:szCs w:val="18"/>
                <w14:textFill>
                  <w14:solidFill>
                    <w14:schemeClr w14:val="tx1"/>
                  </w14:solidFill>
                </w14:textFill>
              </w:rPr>
              <w:t>1</w:t>
            </w:r>
            <w:r>
              <w:rPr>
                <w:rFonts w:hint="eastAsia" w:asciiTheme="majorEastAsia" w:hAnsiTheme="majorEastAsia" w:eastAsiaTheme="majorEastAsia"/>
                <w:bCs/>
                <w:color w:val="000000" w:themeColor="text1"/>
                <w:sz w:val="18"/>
                <w:szCs w:val="18"/>
                <w14:textFill>
                  <w14:solidFill>
                    <w14:schemeClr w14:val="tx1"/>
                  </w14:solidFill>
                </w14:textFill>
              </w:rPr>
              <w:t>亿</w:t>
            </w:r>
            <w:r>
              <w:rPr>
                <w:rFonts w:hint="eastAsia" w:asciiTheme="majorEastAsia" w:hAnsiTheme="majorEastAsia" w:eastAsiaTheme="majorEastAsia"/>
                <w:bCs/>
                <w:sz w:val="18"/>
                <w:szCs w:val="18"/>
              </w:rPr>
              <w:t>】亿美元，最小成立规模为【/】亿美元。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■有固定期限：【</w:t>
            </w:r>
            <w:r>
              <w:rPr>
                <w:rFonts w:asciiTheme="majorEastAsia" w:hAnsiTheme="majorEastAsia" w:eastAsiaTheme="majorEastAsia"/>
                <w:bCs/>
                <w:color w:val="000000" w:themeColor="text1"/>
                <w:sz w:val="18"/>
                <w:szCs w:val="18"/>
                <w14:textFill>
                  <w14:solidFill>
                    <w14:schemeClr w14:val="tx1"/>
                  </w14:solidFill>
                </w14:textFill>
              </w:rPr>
              <w:t>364</w:t>
            </w:r>
            <w:r>
              <w:rPr>
                <w:rFonts w:hint="eastAsia" w:asciiTheme="majorEastAsia" w:hAnsiTheme="majorEastAsia" w:eastAsiaTheme="majorEastAsia"/>
                <w:bCs/>
                <w:color w:val="000000" w:themeColor="text1"/>
                <w:sz w:val="18"/>
                <w:szCs w:val="18"/>
                <w14:textFill>
                  <w14:solidFill>
                    <w14:schemeClr w14:val="tx1"/>
                  </w14:solidFill>
                </w14:textFill>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color w:val="000000" w:themeColor="text1"/>
                <w:sz w:val="18"/>
                <w:szCs w:val="18"/>
                <w14:textFill>
                  <w14:solidFill>
                    <w14:schemeClr w14:val="tx1"/>
                  </w14:solidFill>
                </w14:textFill>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color w:val="000000" w:themeColor="text1"/>
                <w:sz w:val="18"/>
                <w:szCs w:val="18"/>
                <w14:textFill>
                  <w14:solidFill>
                    <w14:schemeClr w14:val="tx1"/>
                  </w14:solidFill>
                </w14:textFill>
              </w:rPr>
              <w:t>【</w:t>
            </w:r>
            <w:r>
              <w:rPr>
                <w:rFonts w:cs="Times New Roman" w:asciiTheme="minorEastAsia" w:hAnsiTheme="minorEastAsia"/>
                <w:color w:val="000000" w:themeColor="text1"/>
                <w:sz w:val="18"/>
                <w:szCs w:val="18"/>
                <w14:textFill>
                  <w14:solidFill>
                    <w14:schemeClr w14:val="tx1"/>
                  </w14:solidFill>
                </w14:textFill>
              </w:rPr>
              <w:t>2024】年【7</w:t>
            </w:r>
            <w:r>
              <w:rPr>
                <w:rFonts w:hint="eastAsia" w:cs="Times New Roman" w:asciiTheme="minorEastAsia" w:hAnsiTheme="minorEastAsia"/>
                <w:color w:val="000000" w:themeColor="text1"/>
                <w:sz w:val="18"/>
                <w:szCs w:val="18"/>
                <w14:textFill>
                  <w14:solidFill>
                    <w14:schemeClr w14:val="tx1"/>
                  </w14:solidFill>
                </w14:textFill>
              </w:rPr>
              <w:t>】月【</w:t>
            </w:r>
            <w:r>
              <w:rPr>
                <w:rFonts w:cs="Times New Roman" w:asciiTheme="minorEastAsia" w:hAnsiTheme="minorEastAsia"/>
                <w:color w:val="000000" w:themeColor="text1"/>
                <w:sz w:val="18"/>
                <w:szCs w:val="18"/>
                <w14:textFill>
                  <w14:solidFill>
                    <w14:schemeClr w14:val="tx1"/>
                  </w14:solidFill>
                </w14:textFill>
              </w:rPr>
              <w:t>24</w:t>
            </w:r>
            <w:r>
              <w:rPr>
                <w:rFonts w:hint="eastAsia" w:cs="Times New Roman" w:asciiTheme="minorEastAsia" w:hAnsiTheme="minorEastAsia"/>
                <w:color w:val="000000" w:themeColor="text1"/>
                <w:sz w:val="18"/>
                <w:szCs w:val="18"/>
                <w14:textFill>
                  <w14:solidFill>
                    <w14:schemeClr w14:val="tx1"/>
                  </w14:solidFill>
                </w14:textFill>
              </w:rPr>
              <w:t>】日【1</w:t>
            </w:r>
            <w:r>
              <w:rPr>
                <w:rFonts w:cs="Times New Roman" w:asciiTheme="minorEastAsia" w:hAnsiTheme="minorEastAsia"/>
                <w:color w:val="000000" w:themeColor="text1"/>
                <w:sz w:val="18"/>
                <w:szCs w:val="18"/>
                <w14:textFill>
                  <w14:solidFill>
                    <w14:schemeClr w14:val="tx1"/>
                  </w14:solidFill>
                </w14:textFill>
              </w:rPr>
              <w:t>1</w:t>
            </w:r>
            <w:r>
              <w:rPr>
                <w:rFonts w:hint="eastAsia" w:cs="Times New Roman" w:asciiTheme="minorEastAsia" w:hAnsiTheme="minorEastAsia"/>
                <w:color w:val="000000" w:themeColor="text1"/>
                <w:sz w:val="18"/>
                <w:szCs w:val="18"/>
                <w14:textFill>
                  <w14:solidFill>
                    <w14:schemeClr w14:val="tx1"/>
                  </w14:solidFill>
                </w14:textFill>
              </w:rPr>
              <w:t>:0</w:t>
            </w:r>
            <w:r>
              <w:rPr>
                <w:rFonts w:cs="Times New Roman" w:asciiTheme="minorEastAsia" w:hAnsiTheme="minorEastAsia"/>
                <w:color w:val="000000" w:themeColor="text1"/>
                <w:sz w:val="18"/>
                <w:szCs w:val="18"/>
                <w14:textFill>
                  <w14:solidFill>
                    <w14:schemeClr w14:val="tx1"/>
                  </w14:solidFill>
                </w14:textFill>
              </w:rPr>
              <w:t>0</w:t>
            </w:r>
            <w:r>
              <w:rPr>
                <w:rFonts w:hint="eastAsia" w:cs="Times New Roman" w:asciiTheme="minorEastAsia" w:hAnsiTheme="minorEastAsia"/>
                <w:color w:val="000000" w:themeColor="text1"/>
                <w:sz w:val="18"/>
                <w:szCs w:val="18"/>
                <w14:textFill>
                  <w14:solidFill>
                    <w14:schemeClr w14:val="tx1"/>
                  </w14:solidFill>
                </w14:textFill>
              </w:rPr>
              <w:t>】</w:t>
            </w:r>
            <w:r>
              <w:rPr>
                <w:rFonts w:hint="eastAsia" w:cs="仿宋_GB2312" w:asciiTheme="minorEastAsia" w:hAnsiTheme="minorEastAsia"/>
                <w:color w:val="000000" w:themeColor="text1"/>
                <w:sz w:val="18"/>
                <w:szCs w:val="18"/>
                <w14:textFill>
                  <w14:solidFill>
                    <w14:schemeClr w14:val="tx1"/>
                  </w14:solidFill>
                </w14:textFill>
              </w:rPr>
              <w:t>至</w:t>
            </w:r>
            <w:r>
              <w:rPr>
                <w:rFonts w:hint="eastAsia" w:cs="Times New Roman" w:asciiTheme="minorEastAsia" w:hAnsiTheme="minorEastAsia"/>
                <w:color w:val="000000" w:themeColor="text1"/>
                <w:sz w:val="18"/>
                <w:szCs w:val="18"/>
                <w14:textFill>
                  <w14:solidFill>
                    <w14:schemeClr w14:val="tx1"/>
                  </w14:solidFill>
                </w14:textFill>
              </w:rPr>
              <w:t>【2</w:t>
            </w:r>
            <w:r>
              <w:rPr>
                <w:rFonts w:cs="Times New Roman" w:asciiTheme="minorEastAsia" w:hAnsiTheme="minorEastAsia"/>
                <w:color w:val="000000" w:themeColor="text1"/>
                <w:sz w:val="18"/>
                <w:szCs w:val="18"/>
                <w14:textFill>
                  <w14:solidFill>
                    <w14:schemeClr w14:val="tx1"/>
                  </w14:solidFill>
                </w14:textFill>
              </w:rPr>
              <w:t>024】年【7</w:t>
            </w:r>
            <w:r>
              <w:rPr>
                <w:rFonts w:hint="eastAsia" w:cs="Times New Roman" w:asciiTheme="minorEastAsia" w:hAnsiTheme="minorEastAsia"/>
                <w:color w:val="000000" w:themeColor="text1"/>
                <w:sz w:val="18"/>
                <w:szCs w:val="18"/>
                <w14:textFill>
                  <w14:solidFill>
                    <w14:schemeClr w14:val="tx1"/>
                  </w14:solidFill>
                </w14:textFill>
              </w:rPr>
              <w:t>】月【</w:t>
            </w:r>
            <w:r>
              <w:rPr>
                <w:rFonts w:cs="Times New Roman" w:asciiTheme="minorEastAsia" w:hAnsiTheme="minorEastAsia"/>
                <w:color w:val="000000" w:themeColor="text1"/>
                <w:sz w:val="18"/>
                <w:szCs w:val="18"/>
                <w14:textFill>
                  <w14:solidFill>
                    <w14:schemeClr w14:val="tx1"/>
                  </w14:solidFill>
                </w14:textFill>
              </w:rPr>
              <w:t>31</w:t>
            </w:r>
            <w:r>
              <w:rPr>
                <w:rFonts w:hint="eastAsia" w:cs="Times New Roman" w:asciiTheme="minorEastAsia" w:hAnsiTheme="minorEastAsia"/>
                <w:color w:val="000000" w:themeColor="text1"/>
                <w:sz w:val="18"/>
                <w:szCs w:val="18"/>
                <w14:textFill>
                  <w14:solidFill>
                    <w14:schemeClr w14:val="tx1"/>
                  </w14:solidFill>
                </w14:textFill>
              </w:rPr>
              <w:t>】日</w:t>
            </w:r>
            <w:r>
              <w:rPr>
                <w:rFonts w:hint="eastAsia" w:asciiTheme="majorEastAsia" w:hAnsiTheme="majorEastAsia" w:eastAsiaTheme="majorEastAsia"/>
                <w:color w:val="000000" w:themeColor="text1"/>
                <w:sz w:val="18"/>
                <w:szCs w:val="18"/>
                <w14:textFill>
                  <w14:solidFill>
                    <w14:schemeClr w14:val="tx1"/>
                  </w14:solidFill>
                </w14:textFill>
              </w:rPr>
              <w:t>【1</w:t>
            </w:r>
            <w:r>
              <w:rPr>
                <w:rFonts w:asciiTheme="majorEastAsia" w:hAnsiTheme="majorEastAsia" w:eastAsiaTheme="majorEastAsia"/>
                <w:color w:val="000000" w:themeColor="text1"/>
                <w:sz w:val="18"/>
                <w:szCs w:val="18"/>
                <w14:textFill>
                  <w14:solidFill>
                    <w14:schemeClr w14:val="tx1"/>
                  </w14:solidFill>
                </w14:textFill>
              </w:rPr>
              <w:t>7</w:t>
            </w:r>
            <w:r>
              <w:rPr>
                <w:rFonts w:hint="eastAsia" w:asciiTheme="majorEastAsia" w:hAnsiTheme="majorEastAsia" w:eastAsiaTheme="majorEastAsia"/>
                <w:color w:val="000000" w:themeColor="text1"/>
                <w:sz w:val="18"/>
                <w:szCs w:val="18"/>
                <w14:textFill>
                  <w14:solidFill>
                    <w14:schemeClr w14:val="tx1"/>
                  </w14:solidFill>
                </w14:textFill>
              </w:rPr>
              <w:t>:0</w:t>
            </w:r>
            <w:r>
              <w:rPr>
                <w:rFonts w:asciiTheme="majorEastAsia" w:hAnsiTheme="majorEastAsia" w:eastAsiaTheme="majorEastAsia"/>
                <w:color w:val="000000" w:themeColor="text1"/>
                <w:sz w:val="18"/>
                <w:szCs w:val="18"/>
                <w14:textFill>
                  <w14:solidFill>
                    <w14:schemeClr w14:val="tx1"/>
                  </w14:solidFill>
                </w14:textFill>
              </w:rPr>
              <w:t>0</w:t>
            </w:r>
            <w:r>
              <w:rPr>
                <w:rFonts w:hint="eastAsia"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color w:val="000000" w:themeColor="text1"/>
                <w:sz w:val="18"/>
                <w:szCs w:val="18"/>
                <w14:textFill>
                  <w14:solidFill>
                    <w14:schemeClr w14:val="tx1"/>
                  </w14:solidFill>
                </w14:textFill>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color w:val="000000" w:themeColor="text1"/>
                <w:sz w:val="18"/>
                <w:szCs w:val="18"/>
                <w14:textFill>
                  <w14:solidFill>
                    <w14:schemeClr w14:val="tx1"/>
                  </w14:solidFill>
                </w14:textFill>
              </w:rPr>
              <w:t>【2024】年【</w:t>
            </w:r>
            <w:r>
              <w:rPr>
                <w:rFonts w:cs="Times New Roman" w:asciiTheme="minorEastAsia" w:hAnsiTheme="minorEastAsia"/>
                <w:color w:val="000000" w:themeColor="text1"/>
                <w:sz w:val="18"/>
                <w:szCs w:val="18"/>
                <w14:textFill>
                  <w14:solidFill>
                    <w14:schemeClr w14:val="tx1"/>
                  </w14:solidFill>
                </w14:textFill>
              </w:rPr>
              <w:t>8</w:t>
            </w:r>
            <w:r>
              <w:rPr>
                <w:rFonts w:hint="eastAsia" w:cs="Times New Roman" w:asciiTheme="minorEastAsia" w:hAnsiTheme="minorEastAsia"/>
                <w:color w:val="000000" w:themeColor="text1"/>
                <w:sz w:val="18"/>
                <w:szCs w:val="18"/>
                <w14:textFill>
                  <w14:solidFill>
                    <w14:schemeClr w14:val="tx1"/>
                  </w14:solidFill>
                </w14:textFill>
              </w:rPr>
              <w:t>】月【</w:t>
            </w:r>
            <w:r>
              <w:rPr>
                <w:rFonts w:cs="Times New Roman" w:asciiTheme="minorEastAsia" w:hAnsiTheme="minorEastAsia"/>
                <w:color w:val="000000" w:themeColor="text1"/>
                <w:sz w:val="18"/>
                <w:szCs w:val="18"/>
                <w14:textFill>
                  <w14:solidFill>
                    <w14:schemeClr w14:val="tx1"/>
                  </w14:solidFill>
                </w14:textFill>
              </w:rPr>
              <w:t>1</w:t>
            </w:r>
            <w:r>
              <w:rPr>
                <w:rFonts w:hint="eastAsia" w:cs="Times New Roman" w:asciiTheme="minorEastAsia" w:hAnsiTheme="minorEastAsia"/>
                <w:color w:val="000000" w:themeColor="text1"/>
                <w:sz w:val="18"/>
                <w:szCs w:val="18"/>
                <w14:textFill>
                  <w14:solidFill>
                    <w14:schemeClr w14:val="tx1"/>
                  </w14:solidFill>
                </w14:textFill>
              </w:rPr>
              <w:t>】日</w:t>
            </w:r>
            <w:r>
              <w:rPr>
                <w:rFonts w:hint="eastAsia" w:cs="Times New Roman" w:asciiTheme="minorEastAsia" w:hAnsiTheme="minorEastAsia"/>
                <w:sz w:val="18"/>
                <w:szCs w:val="18"/>
              </w:rPr>
              <w:t>（遇节假日顺延）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color w:val="000000" w:themeColor="text1"/>
                <w:sz w:val="18"/>
                <w:szCs w:val="18"/>
                <w14:textFill>
                  <w14:solidFill>
                    <w14:schemeClr w14:val="tx1"/>
                  </w14:solidFill>
                </w14:textFill>
              </w:rPr>
              <w:t>【2025】年【</w:t>
            </w:r>
            <w:r>
              <w:rPr>
                <w:rFonts w:ascii="宋体" w:hAnsi="宋体"/>
                <w:bCs/>
                <w:color w:val="000000" w:themeColor="text1"/>
                <w:sz w:val="18"/>
                <w:szCs w:val="18"/>
                <w14:textFill>
                  <w14:solidFill>
                    <w14:schemeClr w14:val="tx1"/>
                  </w14:solidFill>
                </w14:textFill>
              </w:rPr>
              <w:t>7</w:t>
            </w:r>
            <w:r>
              <w:rPr>
                <w:rFonts w:hint="eastAsia" w:cs="Times New Roman" w:asciiTheme="minorEastAsia" w:hAnsiTheme="minorEastAsia"/>
                <w:color w:val="000000" w:themeColor="text1"/>
                <w:sz w:val="18"/>
                <w:szCs w:val="18"/>
                <w14:textFill>
                  <w14:solidFill>
                    <w14:schemeClr w14:val="tx1"/>
                  </w14:solidFill>
                </w14:textFill>
              </w:rPr>
              <w:t>】月【</w:t>
            </w:r>
            <w:r>
              <w:rPr>
                <w:rFonts w:cs="Times New Roman" w:asciiTheme="minorEastAsia" w:hAnsiTheme="minorEastAsia"/>
                <w:color w:val="000000" w:themeColor="text1"/>
                <w:sz w:val="18"/>
                <w:szCs w:val="18"/>
                <w14:textFill>
                  <w14:solidFill>
                    <w14:schemeClr w14:val="tx1"/>
                  </w14:solidFill>
                </w14:textFill>
              </w:rPr>
              <w:t>31</w:t>
            </w:r>
            <w:r>
              <w:rPr>
                <w:rFonts w:hint="eastAsia" w:cs="Times New Roman" w:asciiTheme="minorEastAsia" w:hAnsiTheme="minorEastAsia"/>
                <w:color w:val="000000" w:themeColor="text1"/>
                <w:sz w:val="18"/>
                <w:szCs w:val="18"/>
                <w14:textFill>
                  <w14:solidFill>
                    <w14:schemeClr w14:val="tx1"/>
                  </w14:solidFill>
                </w14:textFill>
              </w:rPr>
              <w:t>】日</w:t>
            </w:r>
            <w:r>
              <w:rPr>
                <w:rFonts w:hint="eastAsia" w:cs="Times New Roman" w:asciiTheme="minorEastAsia" w:hAnsiTheme="minorEastAsia"/>
                <w:sz w:val="18"/>
                <w:szCs w:val="18"/>
              </w:rPr>
              <w:t>（遇节假日顺延）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购买起点金额为【1】美元；超出起点金额的部分以【0.01】美元的整数倍递增。</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1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1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1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1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1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1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1.00美</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【基于境内美元存款、存单收益率水平，管理人对本产品设定业绩比较基准</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jc w:val="left"/>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color w:val="000000" w:themeColor="text1"/>
                <w:sz w:val="18"/>
                <w14:textFill>
                  <w14:solidFill>
                    <w14:schemeClr w14:val="tx1"/>
                  </w14:solidFill>
                </w14:textFill>
              </w:rPr>
              <w:t>年化【</w:t>
            </w:r>
            <w:r>
              <w:rPr>
                <w:rFonts w:asciiTheme="majorEastAsia" w:hAnsiTheme="majorEastAsia"/>
                <w:color w:val="000000" w:themeColor="text1"/>
                <w:sz w:val="18"/>
                <w14:textFill>
                  <w14:solidFill>
                    <w14:schemeClr w14:val="tx1"/>
                  </w14:solidFill>
                </w14:textFill>
              </w:rPr>
              <w:t>5.00-5.05】</w:t>
            </w:r>
            <w:r>
              <w:rPr>
                <w:rFonts w:hint="eastAsia" w:asciiTheme="majorEastAsia" w:hAnsiTheme="majorEastAsia"/>
                <w:color w:val="000000" w:themeColor="text1"/>
                <w:sz w:val="18"/>
                <w14:textFill>
                  <w14:solidFill>
                    <w14:schemeClr w14:val="tx1"/>
                  </w14:solidFill>
                </w14:textFill>
              </w:rPr>
              <w:t>%（适用【A】</w:t>
            </w:r>
            <w:r>
              <w:rPr>
                <w:rFonts w:hint="eastAsia" w:hAnsi="宋体"/>
                <w:bCs/>
                <w:sz w:val="18"/>
                <w:szCs w:val="18"/>
              </w:rPr>
              <w:t>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jc w:val="left"/>
              <w:rPr>
                <w:rFonts w:hAnsi="宋体"/>
                <w:bCs/>
                <w:sz w:val="18"/>
                <w:szCs w:val="18"/>
              </w:rPr>
            </w:pPr>
            <w:r>
              <w:rPr>
                <w:rFonts w:hint="eastAsia" w:asciiTheme="majorEastAsia" w:hAnsiTheme="majorEastAsia"/>
                <w:color w:val="000000" w:themeColor="text1"/>
                <w:sz w:val="18"/>
                <w14:textFill>
                  <w14:solidFill>
                    <w14:schemeClr w14:val="tx1"/>
                  </w14:solidFill>
                </w14:textFill>
              </w:rPr>
              <w:t>年化【</w:t>
            </w:r>
            <w:r>
              <w:rPr>
                <w:rFonts w:asciiTheme="majorEastAsia" w:hAnsiTheme="majorEastAsia"/>
                <w:color w:val="000000" w:themeColor="text1"/>
                <w:sz w:val="18"/>
                <w14:textFill>
                  <w14:solidFill>
                    <w14:schemeClr w14:val="tx1"/>
                  </w14:solidFill>
                </w14:textFill>
              </w:rPr>
              <w:t>5.00-5.05】</w:t>
            </w:r>
            <w:r>
              <w:rPr>
                <w:rFonts w:hint="eastAsia" w:asciiTheme="majorEastAsia" w:hAnsiTheme="majorEastAsia"/>
                <w:color w:val="000000" w:themeColor="text1"/>
                <w:sz w:val="18"/>
                <w14:textFill>
                  <w14:solidFill>
                    <w14:schemeClr w14:val="tx1"/>
                  </w14:solidFill>
                </w14:textFill>
              </w:rPr>
              <w:t>%（适用【B】</w:t>
            </w:r>
            <w:r>
              <w:rPr>
                <w:rFonts w:hint="eastAsia" w:hAnsi="宋体"/>
                <w:bCs/>
                <w:sz w:val="18"/>
                <w:szCs w:val="18"/>
              </w:rPr>
              <w:t>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jc w:val="left"/>
              <w:rPr>
                <w:rFonts w:hAnsi="宋体"/>
                <w:bCs/>
                <w:sz w:val="18"/>
                <w:szCs w:val="18"/>
              </w:rPr>
            </w:pPr>
            <w:r>
              <w:rPr>
                <w:rFonts w:hint="eastAsia" w:asciiTheme="majorEastAsia" w:hAnsiTheme="majorEastAsia"/>
                <w:color w:val="000000" w:themeColor="text1"/>
                <w:sz w:val="18"/>
                <w14:textFill>
                  <w14:solidFill>
                    <w14:schemeClr w14:val="tx1"/>
                  </w14:solidFill>
                </w14:textFill>
              </w:rPr>
              <w:t>年化【</w:t>
            </w:r>
            <w:r>
              <w:rPr>
                <w:rFonts w:asciiTheme="majorEastAsia" w:hAnsiTheme="majorEastAsia"/>
                <w:color w:val="000000" w:themeColor="text1"/>
                <w:sz w:val="18"/>
                <w14:textFill>
                  <w14:solidFill>
                    <w14:schemeClr w14:val="tx1"/>
                  </w14:solidFill>
                </w14:textFill>
              </w:rPr>
              <w:t>4.75-4.80】</w:t>
            </w:r>
            <w:r>
              <w:rPr>
                <w:rFonts w:hint="eastAsia" w:asciiTheme="majorEastAsia" w:hAnsiTheme="majorEastAsia"/>
                <w:color w:val="000000" w:themeColor="text1"/>
                <w:sz w:val="18"/>
                <w14:textFill>
                  <w14:solidFill>
                    <w14:schemeClr w14:val="tx1"/>
                  </w14:solidFill>
                </w14:textFill>
              </w:rPr>
              <w:t>%（适用【</w:t>
            </w:r>
            <w:r>
              <w:rPr>
                <w:rFonts w:asciiTheme="majorEastAsia" w:hAnsiTheme="majorEastAsia"/>
                <w:color w:val="000000" w:themeColor="text1"/>
                <w:sz w:val="18"/>
                <w14:textFill>
                  <w14:solidFill>
                    <w14:schemeClr w14:val="tx1"/>
                  </w14:solidFill>
                </w14:textFill>
              </w:rPr>
              <w:t>C</w:t>
            </w:r>
            <w:r>
              <w:rPr>
                <w:rFonts w:hint="eastAsia" w:asciiTheme="majorEastAsia" w:hAnsiTheme="majorEastAsia"/>
                <w:color w:val="000000" w:themeColor="text1"/>
                <w:sz w:val="18"/>
                <w14:textFill>
                  <w14:solidFill>
                    <w14:schemeClr w14:val="tx1"/>
                  </w14:solidFill>
                </w14:textFill>
              </w:rPr>
              <w:t>】</w:t>
            </w:r>
            <w:r>
              <w:rPr>
                <w:rFonts w:hint="eastAsia" w:hAnsi="宋体"/>
                <w:bCs/>
                <w:sz w:val="18"/>
                <w:szCs w:val="18"/>
              </w:rPr>
              <w:t>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：管理人</w:t>
            </w:r>
            <w:r>
              <w:rPr>
                <w:rFonts w:ascii="宋体" w:hAnsi="宋体"/>
                <w:bCs/>
                <w:sz w:val="18"/>
                <w:szCs w:val="18"/>
              </w:rPr>
              <w:t>对本产品设定</w:t>
            </w:r>
            <w:r>
              <w:rPr>
                <w:rFonts w:hint="eastAsia" w:ascii="宋体" w:hAnsi="宋体"/>
                <w:bCs/>
                <w:sz w:val="18"/>
                <w:szCs w:val="18"/>
              </w:rPr>
              <w:t>业绩报酬计提基准：</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年化【</w:t>
            </w:r>
            <w:r>
              <w:rPr>
                <w:rFonts w:asciiTheme="majorEastAsia" w:hAnsiTheme="majorEastAsia" w:eastAsiaTheme="majorEastAsia"/>
                <w:bCs/>
                <w:color w:val="000000" w:themeColor="text1"/>
                <w:sz w:val="18"/>
                <w:szCs w:val="18"/>
                <w14:textFill>
                  <w14:solidFill>
                    <w14:schemeClr w14:val="tx1"/>
                  </w14:solidFill>
                </w14:textFill>
              </w:rPr>
              <w:t>5.05</w:t>
            </w:r>
            <w:r>
              <w:rPr>
                <w:rFonts w:hint="eastAsia" w:asciiTheme="majorEastAsia" w:hAnsiTheme="majorEastAsia" w:eastAsiaTheme="majorEastAsia"/>
                <w:bCs/>
                <w:color w:val="000000" w:themeColor="text1"/>
                <w:sz w:val="18"/>
                <w:szCs w:val="18"/>
                <w14:textFill>
                  <w14:solidFill>
                    <w14:schemeClr w14:val="tx1"/>
                  </w14:solidFill>
                </w14:textFill>
              </w:rPr>
              <w:t>】%（适用【A】类</w:t>
            </w:r>
            <w:r>
              <w:rPr>
                <w:rFonts w:asciiTheme="majorEastAsia" w:hAnsiTheme="majorEastAsia" w:eastAsiaTheme="majorEastAsia"/>
                <w:bCs/>
                <w:color w:val="000000" w:themeColor="text1"/>
                <w:sz w:val="18"/>
                <w:szCs w:val="18"/>
                <w14:textFill>
                  <w14:solidFill>
                    <w14:schemeClr w14:val="tx1"/>
                  </w14:solidFill>
                </w14:textFill>
              </w:rPr>
              <w:t>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年化【</w:t>
            </w:r>
            <w:r>
              <w:rPr>
                <w:rFonts w:asciiTheme="majorEastAsia" w:hAnsiTheme="majorEastAsia" w:eastAsiaTheme="majorEastAsia"/>
                <w:bCs/>
                <w:color w:val="000000" w:themeColor="text1"/>
                <w:sz w:val="18"/>
                <w:szCs w:val="18"/>
                <w14:textFill>
                  <w14:solidFill>
                    <w14:schemeClr w14:val="tx1"/>
                  </w14:solidFill>
                </w14:textFill>
              </w:rPr>
              <w:t>5.05</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asciiTheme="majorEastAsia" w:hAnsiTheme="majorEastAsia" w:eastAsiaTheme="majorEastAsia"/>
                <w:bCs/>
                <w:color w:val="000000" w:themeColor="text1"/>
                <w:sz w:val="18"/>
                <w:szCs w:val="18"/>
                <w14:textFill>
                  <w14:solidFill>
                    <w14:schemeClr w14:val="tx1"/>
                  </w14:solidFill>
                </w14:textFill>
              </w:rPr>
              <w:t>B</w:t>
            </w:r>
            <w:r>
              <w:rPr>
                <w:rFonts w:hint="eastAsia" w:asciiTheme="majorEastAsia" w:hAnsiTheme="majorEastAsia" w:eastAsiaTheme="majorEastAsia"/>
                <w:bCs/>
                <w:color w:val="000000" w:themeColor="text1"/>
                <w:sz w:val="18"/>
                <w:szCs w:val="18"/>
                <w14:textFill>
                  <w14:solidFill>
                    <w14:schemeClr w14:val="tx1"/>
                  </w14:solidFill>
                </w14:textFill>
              </w:rPr>
              <w:t>】类</w:t>
            </w:r>
            <w:r>
              <w:rPr>
                <w:rFonts w:asciiTheme="majorEastAsia" w:hAnsiTheme="majorEastAsia" w:eastAsiaTheme="majorEastAsia"/>
                <w:bCs/>
                <w:color w:val="000000" w:themeColor="text1"/>
                <w:sz w:val="18"/>
                <w:szCs w:val="18"/>
                <w14:textFill>
                  <w14:solidFill>
                    <w14:schemeClr w14:val="tx1"/>
                  </w14:solidFill>
                </w14:textFill>
              </w:rPr>
              <w:t>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年化【</w:t>
            </w:r>
            <w:r>
              <w:rPr>
                <w:rFonts w:asciiTheme="majorEastAsia" w:hAnsiTheme="majorEastAsia" w:eastAsiaTheme="majorEastAsia"/>
                <w:bCs/>
                <w:color w:val="000000" w:themeColor="text1"/>
                <w:sz w:val="18"/>
                <w:szCs w:val="18"/>
                <w14:textFill>
                  <w14:solidFill>
                    <w14:schemeClr w14:val="tx1"/>
                  </w14:solidFill>
                </w14:textFill>
              </w:rPr>
              <w:t>4.80</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asciiTheme="majorEastAsia" w:hAnsiTheme="majorEastAsia" w:eastAsiaTheme="majorEastAsia"/>
                <w:bCs/>
                <w:color w:val="000000" w:themeColor="text1"/>
                <w:sz w:val="18"/>
                <w:szCs w:val="18"/>
                <w14:textFill>
                  <w14:solidFill>
                    <w14:schemeClr w14:val="tx1"/>
                  </w14:solidFill>
                </w14:textFill>
              </w:rPr>
              <w:t>C</w:t>
            </w:r>
            <w:r>
              <w:rPr>
                <w:rFonts w:hint="eastAsia" w:asciiTheme="majorEastAsia" w:hAnsiTheme="majorEastAsia" w:eastAsiaTheme="majorEastAsia"/>
                <w:bCs/>
                <w:color w:val="000000" w:themeColor="text1"/>
                <w:sz w:val="18"/>
                <w:szCs w:val="18"/>
                <w14:textFill>
                  <w14:solidFill>
                    <w14:schemeClr w14:val="tx1"/>
                  </w14:solidFill>
                </w14:textFill>
              </w:rPr>
              <w:t>】类</w:t>
            </w:r>
            <w:r>
              <w:rPr>
                <w:rFonts w:asciiTheme="majorEastAsia" w:hAnsiTheme="majorEastAsia" w:eastAsiaTheme="majorEastAsia"/>
                <w:bCs/>
                <w:color w:val="000000" w:themeColor="text1"/>
                <w:sz w:val="18"/>
                <w:szCs w:val="18"/>
                <w14:textFill>
                  <w14:solidFill>
                    <w14:schemeClr w14:val="tx1"/>
                  </w14:solidFill>
                </w14:textFill>
              </w:rPr>
              <w:t>份额</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w:t>
            </w:r>
          </w:p>
          <w:p>
            <w:pPr>
              <w:spacing w:line="360" w:lineRule="auto"/>
              <w:jc w:val="left"/>
              <w:rPr>
                <w:rFonts w:ascii="宋体" w:hAnsi="宋体"/>
                <w:bCs/>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年化</w:t>
            </w:r>
            <w:r>
              <w:rPr>
                <w:rFonts w:asciiTheme="majorEastAsia" w:hAnsiTheme="majorEastAsia" w:eastAsiaTheme="majorEastAsia"/>
                <w:bCs/>
                <w:color w:val="000000" w:themeColor="text1"/>
                <w:sz w:val="18"/>
                <w:szCs w:val="18"/>
                <w14:textFill>
                  <w14:solidFill>
                    <w14:schemeClr w14:val="tx1"/>
                  </w14:solidFill>
                </w14:textFill>
              </w:rPr>
              <w:t>费率</w:t>
            </w:r>
            <w:r>
              <w:rPr>
                <w:rFonts w:hint="eastAsia" w:asciiTheme="majorEastAsia" w:hAnsiTheme="majorEastAsia" w:eastAsiaTheme="majorEastAsia"/>
                <w:color w:val="000000" w:themeColor="text1"/>
                <w:sz w:val="18"/>
                <w:szCs w:val="18"/>
                <w14:textFill>
                  <w14:solidFill>
                    <w14:schemeClr w14:val="tx1"/>
                  </w14:solidFill>
                </w14:textFill>
              </w:rPr>
              <w:t>【0</w:t>
            </w:r>
            <w:r>
              <w:rPr>
                <w:rFonts w:asciiTheme="majorEastAsia" w:hAnsiTheme="majorEastAsia" w:eastAsiaTheme="majorEastAsia"/>
                <w:color w:val="000000" w:themeColor="text1"/>
                <w:sz w:val="18"/>
                <w:szCs w:val="18"/>
                <w14:textFill>
                  <w14:solidFill>
                    <w14:schemeClr w14:val="tx1"/>
                  </w14:solidFill>
                </w14:textFill>
              </w:rPr>
              <w:t>.05</w:t>
            </w:r>
            <w:r>
              <w:rPr>
                <w:rFonts w:hint="eastAsia" w:asciiTheme="majorEastAsia" w:hAnsiTheme="majorEastAsia" w:eastAsiaTheme="majorEastAsia"/>
                <w:color w:val="000000" w:themeColor="text1"/>
                <w:sz w:val="18"/>
                <w:szCs w:val="18"/>
                <w14:textFill>
                  <w14:solidFill>
                    <w14:schemeClr w14:val="tx1"/>
                  </w14:solidFill>
                </w14:textFill>
              </w:rPr>
              <w:t>】%</w:t>
            </w:r>
            <w:r>
              <w:rPr>
                <w:rFonts w:hint="eastAsia" w:hAnsi="宋体"/>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适用【A】类</w:t>
            </w:r>
            <w:r>
              <w:rPr>
                <w:rFonts w:asciiTheme="majorEastAsia" w:hAnsiTheme="majorEastAsia" w:eastAsiaTheme="majorEastAsia"/>
                <w:bCs/>
                <w:color w:val="000000" w:themeColor="text1"/>
                <w:sz w:val="18"/>
                <w:szCs w:val="18"/>
                <w14:textFill>
                  <w14:solidFill>
                    <w14:schemeClr w14:val="tx1"/>
                  </w14:solidFill>
                </w14:textFill>
              </w:rPr>
              <w:t>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年化</w:t>
            </w:r>
            <w:r>
              <w:rPr>
                <w:rFonts w:asciiTheme="majorEastAsia" w:hAnsiTheme="majorEastAsia" w:eastAsiaTheme="majorEastAsia"/>
                <w:bCs/>
                <w:color w:val="000000" w:themeColor="text1"/>
                <w:sz w:val="18"/>
                <w:szCs w:val="18"/>
                <w14:textFill>
                  <w14:solidFill>
                    <w14:schemeClr w14:val="tx1"/>
                  </w14:solidFill>
                </w14:textFill>
              </w:rPr>
              <w:t>费率</w:t>
            </w:r>
            <w:r>
              <w:rPr>
                <w:rFonts w:hint="eastAsia" w:asciiTheme="majorEastAsia" w:hAnsiTheme="majorEastAsia" w:eastAsiaTheme="majorEastAsia"/>
                <w:color w:val="000000" w:themeColor="text1"/>
                <w:sz w:val="18"/>
                <w:szCs w:val="18"/>
                <w14:textFill>
                  <w14:solidFill>
                    <w14:schemeClr w14:val="tx1"/>
                  </w14:solidFill>
                </w14:textFill>
              </w:rPr>
              <w:t>【0</w:t>
            </w:r>
            <w:r>
              <w:rPr>
                <w:rFonts w:asciiTheme="majorEastAsia" w:hAnsiTheme="majorEastAsia" w:eastAsiaTheme="majorEastAsia"/>
                <w:color w:val="000000" w:themeColor="text1"/>
                <w:sz w:val="18"/>
                <w:szCs w:val="18"/>
                <w14:textFill>
                  <w14:solidFill>
                    <w14:schemeClr w14:val="tx1"/>
                  </w14:solidFill>
                </w14:textFill>
              </w:rPr>
              <w:t>.05</w:t>
            </w:r>
            <w:r>
              <w:rPr>
                <w:rFonts w:hint="eastAsia" w:asciiTheme="majorEastAsia" w:hAnsiTheme="majorEastAsia" w:eastAsiaTheme="majorEastAsia"/>
                <w:color w:val="000000" w:themeColor="text1"/>
                <w:sz w:val="18"/>
                <w:szCs w:val="18"/>
                <w14:textFill>
                  <w14:solidFill>
                    <w14:schemeClr w14:val="tx1"/>
                  </w14:solidFill>
                </w14:textFill>
              </w:rPr>
              <w:t>】%</w:t>
            </w:r>
            <w:r>
              <w:rPr>
                <w:rFonts w:hint="eastAsia" w:hAnsi="宋体"/>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asciiTheme="majorEastAsia" w:hAnsiTheme="majorEastAsia" w:eastAsiaTheme="majorEastAsia"/>
                <w:bCs/>
                <w:color w:val="000000" w:themeColor="text1"/>
                <w:sz w:val="18"/>
                <w:szCs w:val="18"/>
                <w14:textFill>
                  <w14:solidFill>
                    <w14:schemeClr w14:val="tx1"/>
                  </w14:solidFill>
                </w14:textFill>
              </w:rPr>
              <w:t>B</w:t>
            </w:r>
            <w:r>
              <w:rPr>
                <w:rFonts w:hint="eastAsia" w:asciiTheme="majorEastAsia" w:hAnsiTheme="majorEastAsia" w:eastAsiaTheme="majorEastAsia"/>
                <w:bCs/>
                <w:color w:val="000000" w:themeColor="text1"/>
                <w:sz w:val="18"/>
                <w:szCs w:val="18"/>
                <w14:textFill>
                  <w14:solidFill>
                    <w14:schemeClr w14:val="tx1"/>
                  </w14:solidFill>
                </w14:textFill>
              </w:rPr>
              <w:t>】类</w:t>
            </w:r>
            <w:r>
              <w:rPr>
                <w:rFonts w:asciiTheme="majorEastAsia" w:hAnsiTheme="majorEastAsia" w:eastAsiaTheme="majorEastAsia"/>
                <w:bCs/>
                <w:color w:val="000000" w:themeColor="text1"/>
                <w:sz w:val="18"/>
                <w:szCs w:val="18"/>
                <w14:textFill>
                  <w14:solidFill>
                    <w14:schemeClr w14:val="tx1"/>
                  </w14:solidFill>
                </w14:textFill>
              </w:rPr>
              <w:t>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年化</w:t>
            </w:r>
            <w:r>
              <w:rPr>
                <w:rFonts w:asciiTheme="majorEastAsia" w:hAnsiTheme="majorEastAsia" w:eastAsiaTheme="majorEastAsia"/>
                <w:bCs/>
                <w:color w:val="000000" w:themeColor="text1"/>
                <w:sz w:val="18"/>
                <w:szCs w:val="18"/>
                <w14:textFill>
                  <w14:solidFill>
                    <w14:schemeClr w14:val="tx1"/>
                  </w14:solidFill>
                </w14:textFill>
              </w:rPr>
              <w:t>费率</w:t>
            </w:r>
            <w:r>
              <w:rPr>
                <w:rFonts w:hint="eastAsia" w:asciiTheme="majorEastAsia" w:hAnsiTheme="majorEastAsia" w:eastAsiaTheme="majorEastAsia"/>
                <w:color w:val="000000" w:themeColor="text1"/>
                <w:sz w:val="18"/>
                <w:szCs w:val="18"/>
                <w14:textFill>
                  <w14:solidFill>
                    <w14:schemeClr w14:val="tx1"/>
                  </w14:solidFill>
                </w14:textFill>
              </w:rPr>
              <w:t>【0</w:t>
            </w:r>
            <w:r>
              <w:rPr>
                <w:rFonts w:asciiTheme="majorEastAsia" w:hAnsiTheme="majorEastAsia" w:eastAsiaTheme="majorEastAsia"/>
                <w:color w:val="000000" w:themeColor="text1"/>
                <w:sz w:val="18"/>
                <w:szCs w:val="18"/>
                <w14:textFill>
                  <w14:solidFill>
                    <w14:schemeClr w14:val="tx1"/>
                  </w14:solidFill>
                </w14:textFill>
              </w:rPr>
              <w:t>.30</w:t>
            </w:r>
            <w:r>
              <w:rPr>
                <w:rFonts w:hint="eastAsia" w:asciiTheme="majorEastAsia" w:hAnsiTheme="majorEastAsia" w:eastAsiaTheme="majorEastAsia"/>
                <w:color w:val="000000" w:themeColor="text1"/>
                <w:sz w:val="18"/>
                <w:szCs w:val="18"/>
                <w14:textFill>
                  <w14:solidFill>
                    <w14:schemeClr w14:val="tx1"/>
                  </w14:solidFill>
                </w14:textFill>
              </w:rPr>
              <w:t>】%</w:t>
            </w:r>
            <w:r>
              <w:rPr>
                <w:rFonts w:hint="eastAsia" w:hAnsi="宋体"/>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asciiTheme="majorEastAsia" w:hAnsiTheme="majorEastAsia" w:eastAsiaTheme="majorEastAsia"/>
                <w:bCs/>
                <w:color w:val="000000" w:themeColor="text1"/>
                <w:sz w:val="18"/>
                <w:szCs w:val="18"/>
                <w14:textFill>
                  <w14:solidFill>
                    <w14:schemeClr w14:val="tx1"/>
                  </w14:solidFill>
                </w14:textFill>
              </w:rPr>
              <w:t>C</w:t>
            </w:r>
            <w:r>
              <w:rPr>
                <w:rFonts w:hint="eastAsia" w:asciiTheme="majorEastAsia" w:hAnsiTheme="majorEastAsia" w:eastAsiaTheme="majorEastAsia"/>
                <w:bCs/>
                <w:color w:val="000000" w:themeColor="text1"/>
                <w:sz w:val="18"/>
                <w:szCs w:val="18"/>
                <w14:textFill>
                  <w14:solidFill>
                    <w14:schemeClr w14:val="tx1"/>
                  </w14:solidFill>
                </w14:textFill>
              </w:rPr>
              <w:t>】类</w:t>
            </w:r>
            <w:r>
              <w:rPr>
                <w:rFonts w:asciiTheme="majorEastAsia" w:hAnsiTheme="majorEastAsia" w:eastAsiaTheme="majorEastAsia"/>
                <w:bCs/>
                <w:color w:val="000000" w:themeColor="text1"/>
                <w:sz w:val="18"/>
                <w:szCs w:val="18"/>
                <w14:textFill>
                  <w14:solidFill>
                    <w14:schemeClr w14:val="tx1"/>
                  </w14:solidFill>
                </w14:textFill>
              </w:rPr>
              <w:t>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2</w:t>
            </w:r>
            <w:r>
              <w:rPr>
                <w:rFonts w:hint="eastAsia" w:asciiTheme="majorEastAsia" w:hAnsiTheme="majorEastAsia" w:eastAsiaTheme="majorEastAsia"/>
                <w:bCs/>
                <w:color w:val="000000" w:themeColor="text1"/>
                <w:sz w:val="18"/>
                <w:szCs w:val="18"/>
                <w14:textFill>
                  <w14:solidFill>
                    <w14:schemeClr w14:val="tx1"/>
                  </w14:solidFill>
                </w14:textFill>
              </w:rPr>
              <w:t>）投资管理费：年化</w:t>
            </w:r>
            <w:r>
              <w:rPr>
                <w:rFonts w:asciiTheme="majorEastAsia" w:hAnsiTheme="majorEastAsia" w:eastAsiaTheme="majorEastAsia"/>
                <w:bCs/>
                <w:color w:val="000000" w:themeColor="text1"/>
                <w:sz w:val="18"/>
                <w:szCs w:val="18"/>
                <w14:textFill>
                  <w14:solidFill>
                    <w14:schemeClr w14:val="tx1"/>
                  </w14:solidFill>
                </w14:textFill>
              </w:rPr>
              <w:t>费率</w:t>
            </w:r>
            <w:r>
              <w:rPr>
                <w:rFonts w:hint="eastAsia" w:asciiTheme="majorEastAsia" w:hAnsiTheme="majorEastAsia" w:eastAsiaTheme="majorEastAsia"/>
                <w:bCs/>
                <w:color w:val="000000" w:themeColor="text1"/>
                <w:sz w:val="18"/>
                <w:szCs w:val="18"/>
                <w14:textFill>
                  <w14:solidFill>
                    <w14:schemeClr w14:val="tx1"/>
                  </w14:solidFill>
                </w14:textFill>
              </w:rPr>
              <w:t>【0</w:t>
            </w:r>
            <w:r>
              <w:rPr>
                <w:rFonts w:asciiTheme="majorEastAsia" w:hAnsiTheme="majorEastAsia" w:eastAsiaTheme="majorEastAsia"/>
                <w:bCs/>
                <w:color w:val="000000" w:themeColor="text1"/>
                <w:sz w:val="18"/>
                <w:szCs w:val="18"/>
                <w14:textFill>
                  <w14:solidFill>
                    <w14:schemeClr w14:val="tx1"/>
                  </w14:solidFill>
                </w14:textFill>
              </w:rPr>
              <w:t>.30】</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w:t>
            </w:r>
            <w:r>
              <w:rPr>
                <w:rFonts w:ascii="宋体" w:hAnsi="宋体"/>
                <w:b/>
                <w:bCs/>
                <w:color w:val="000000" w:themeColor="text1"/>
                <w:sz w:val="18"/>
                <w:szCs w:val="18"/>
                <w14:textFill>
                  <w14:solidFill>
                    <w14:schemeClr w14:val="tx1"/>
                  </w14:solidFill>
                </w14:textFill>
              </w:rPr>
              <w:t>3</w:t>
            </w:r>
            <w:r>
              <w:rPr>
                <w:rFonts w:hint="eastAsia" w:ascii="宋体" w:hAnsi="宋体"/>
                <w:b/>
                <w:bCs/>
                <w:color w:val="000000" w:themeColor="text1"/>
                <w:sz w:val="18"/>
                <w:szCs w:val="18"/>
                <w14:textFill>
                  <w14:solidFill>
                    <w14:schemeClr w14:val="tx1"/>
                  </w14:solidFill>
                </w14:textFill>
              </w:rPr>
              <w:t>）产品托管费：</w:t>
            </w:r>
            <w:r>
              <w:rPr>
                <w:rFonts w:hint="eastAsia" w:asciiTheme="majorEastAsia" w:hAnsiTheme="majorEastAsia" w:eastAsiaTheme="majorEastAsia"/>
                <w:bCs/>
                <w:color w:val="000000" w:themeColor="text1"/>
                <w:sz w:val="18"/>
                <w:szCs w:val="18"/>
                <w14:textFill>
                  <w14:solidFill>
                    <w14:schemeClr w14:val="tx1"/>
                  </w14:solidFill>
                </w14:textFill>
              </w:rPr>
              <w:t>年化</w:t>
            </w:r>
            <w:r>
              <w:rPr>
                <w:rFonts w:asciiTheme="majorEastAsia" w:hAnsiTheme="majorEastAsia" w:eastAsiaTheme="majorEastAsia"/>
                <w:bCs/>
                <w:color w:val="000000" w:themeColor="text1"/>
                <w:sz w:val="18"/>
                <w:szCs w:val="18"/>
                <w14:textFill>
                  <w14:solidFill>
                    <w14:schemeClr w14:val="tx1"/>
                  </w14:solidFill>
                </w14:textFill>
              </w:rPr>
              <w:t>费率</w:t>
            </w:r>
            <w:r>
              <w:rPr>
                <w:rFonts w:hint="eastAsia" w:asciiTheme="majorEastAsia" w:hAnsiTheme="majorEastAsia" w:eastAsiaTheme="majorEastAsia"/>
                <w:color w:val="000000" w:themeColor="text1"/>
                <w:sz w:val="18"/>
                <w:szCs w:val="18"/>
                <w14:textFill>
                  <w14:solidFill>
                    <w14:schemeClr w14:val="tx1"/>
                  </w14:solidFill>
                </w14:textFill>
              </w:rPr>
              <w:t>【0</w:t>
            </w:r>
            <w:r>
              <w:rPr>
                <w:rFonts w:asciiTheme="majorEastAsia" w:hAnsiTheme="majorEastAsia" w:eastAsiaTheme="majorEastAsia"/>
                <w:color w:val="000000" w:themeColor="text1"/>
                <w:sz w:val="18"/>
                <w:szCs w:val="18"/>
                <w14:textFill>
                  <w14:solidFill>
                    <w14:schemeClr w14:val="tx1"/>
                  </w14:solidFill>
                </w14:textFill>
              </w:rPr>
              <w:t>.03】</w:t>
            </w:r>
            <w:r>
              <w:rPr>
                <w:rFonts w:hint="eastAsia" w:asciiTheme="majorEastAsia" w:hAnsiTheme="majorEastAsia" w:eastAsiaTheme="majorEastAsia"/>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w:t>
            </w:r>
            <w:r>
              <w:rPr>
                <w:rFonts w:ascii="宋体" w:hAnsi="宋体"/>
                <w:b/>
                <w:bCs/>
                <w:color w:val="000000" w:themeColor="text1"/>
                <w:sz w:val="18"/>
                <w:szCs w:val="18"/>
                <w14:textFill>
                  <w14:solidFill>
                    <w14:schemeClr w14:val="tx1"/>
                  </w14:solidFill>
                </w14:textFill>
              </w:rPr>
              <w:t>4</w:t>
            </w:r>
            <w:r>
              <w:rPr>
                <w:rFonts w:hint="eastAsia" w:ascii="宋体" w:hAnsi="宋体"/>
                <w:b/>
                <w:bCs/>
                <w:color w:val="000000" w:themeColor="text1"/>
                <w:sz w:val="18"/>
                <w:szCs w:val="18"/>
                <w14:textFill>
                  <w14:solidFill>
                    <w14:schemeClr w14:val="tx1"/>
                  </w14:solidFill>
                </w14:textFill>
              </w:rPr>
              <w:t>）超额业绩报酬：</w:t>
            </w:r>
          </w:p>
          <w:p>
            <w:pPr>
              <w:spacing w:line="36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50】%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1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70" w:name="_Toc116649651"/>
      <w:bookmarkStart w:id="71" w:name="_Toc79154666"/>
      <w:r>
        <w:rPr>
          <w:rFonts w:ascii="Times New Roman"/>
          <w:sz w:val="30"/>
        </w:rPr>
        <w:t>第</w:t>
      </w:r>
      <w:r>
        <w:rPr>
          <w:rFonts w:hint="eastAsia" w:ascii="Times New Roman"/>
          <w:sz w:val="30"/>
        </w:rPr>
        <w:t>三条</w:t>
      </w:r>
      <w:r>
        <w:rPr>
          <w:rFonts w:ascii="Times New Roman"/>
          <w:sz w:val="30"/>
        </w:rPr>
        <w:t xml:space="preserve">  </w:t>
      </w:r>
      <w:bookmarkStart w:id="72" w:name="_Toc79392573"/>
      <w:r>
        <w:rPr>
          <w:rFonts w:hint="eastAsia" w:ascii="Times New Roman"/>
          <w:sz w:val="30"/>
        </w:rPr>
        <w:t>理财产品的认购</w:t>
      </w:r>
      <w:bookmarkEnd w:id="70"/>
      <w:bookmarkEnd w:id="71"/>
    </w:p>
    <w:p>
      <w:pPr>
        <w:spacing w:line="360" w:lineRule="auto"/>
        <w:ind w:firstLine="361" w:firstLineChars="200"/>
        <w:rPr>
          <w:rFonts w:asciiTheme="minorEastAsia" w:hAnsiTheme="minorEastAsia"/>
          <w:b/>
          <w:bCs/>
          <w:sz w:val="18"/>
          <w:szCs w:val="18"/>
        </w:rPr>
      </w:pPr>
      <w:bookmarkStart w:id="73" w:name="_Hlt88031774"/>
      <w:bookmarkEnd w:id="73"/>
      <w:bookmarkStart w:id="7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1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1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1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1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8"/>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
          <w:bCs/>
          <w:sz w:val="18"/>
          <w:szCs w:val="18"/>
        </w:rPr>
      </w:pPr>
      <w:r>
        <w:rPr>
          <w:rFonts w:hint="eastAsia" w:asciiTheme="minorEastAsia" w:hAnsiTheme="minorEastAsia"/>
          <w:bCs/>
          <w:sz w:val="18"/>
          <w:szCs w:val="18"/>
        </w:rPr>
        <w:t>认购期/募集期内投资者可提交认购申请。提交认购申请并不代表认购成功，产品管理人将在认购确认日确认投资者是否认购成功，是否成功以管理人的确认结果为准。</w:t>
      </w: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美元。</w:t>
      </w:r>
    </w:p>
    <w:p>
      <w:pPr>
        <w:pStyle w:val="1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1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1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1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72"/>
    <w:bookmarkEnd w:id="74"/>
    <w:p>
      <w:pPr>
        <w:pStyle w:val="2"/>
        <w:spacing w:before="0" w:after="0" w:line="360" w:lineRule="auto"/>
        <w:jc w:val="center"/>
        <w:rPr>
          <w:rFonts w:ascii="Times New Roman"/>
          <w:sz w:val="30"/>
        </w:rPr>
      </w:pPr>
      <w:bookmarkStart w:id="75" w:name="_Toc116649652"/>
      <w:bookmarkStart w:id="76" w:name="_Toc4771"/>
      <w:bookmarkStart w:id="77" w:name="_Toc22074"/>
      <w:bookmarkStart w:id="78" w:name="_Toc29784"/>
      <w:bookmarkStart w:id="79" w:name="_Toc90742688"/>
      <w:bookmarkStart w:id="80" w:name="_Toc16265"/>
      <w:bookmarkStart w:id="81" w:name="_Toc7151"/>
      <w:bookmarkStart w:id="82" w:name="_Toc27189"/>
      <w:bookmarkStart w:id="83" w:name="_Toc3266"/>
      <w:bookmarkStart w:id="84" w:name="_Toc79154668"/>
      <w:bookmarkStart w:id="85" w:name="_Toc74065741"/>
      <w:bookmarkStart w:id="86" w:name="_Toc90742390"/>
      <w:bookmarkStart w:id="87" w:name="_Toc90742321"/>
      <w:bookmarkStart w:id="88" w:name="_Toc6714"/>
      <w:bookmarkStart w:id="89" w:name="_Toc29948"/>
      <w:bookmarkStart w:id="90" w:name="_Toc27226"/>
      <w:bookmarkStart w:id="91" w:name="_Toc15203"/>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75"/>
      <w:bookmarkEnd w:id="76"/>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2"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w:t>
      </w:r>
      <w:r>
        <w:rPr>
          <w:rFonts w:hint="eastAsia" w:asciiTheme="majorEastAsia" w:hAnsiTheme="majorEastAsia" w:eastAsiaTheme="majorEastAsia"/>
          <w:sz w:val="18"/>
          <w:szCs w:val="18"/>
        </w:rPr>
        <w:t>本产品为固定收益类产品，在严格管理投资风险的基础上，追求资产的长期稳定收益</w:t>
      </w:r>
      <w:r>
        <w:rPr>
          <w:rFonts w:hint="eastAsia" w:asciiTheme="majorEastAsia" w:hAnsiTheme="majorEastAsia" w:eastAsiaTheme="majorEastAsia"/>
          <w:bCs/>
          <w:color w:val="auto"/>
          <w:sz w:val="18"/>
          <w:szCs w:val="18"/>
        </w:rPr>
        <w:t>】</w:t>
      </w:r>
    </w:p>
    <w:p>
      <w:pPr>
        <w:pStyle w:val="1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银行存款、境内同业存单等货币市场工具及其它资金融通工具。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本产品投资于存款、存单类资产及现金的比例不低于产品总资产的100%</w:t>
      </w:r>
      <w:r>
        <w:rPr>
          <w:rFonts w:asciiTheme="majorEastAsia" w:hAnsiTheme="majorEastAsia" w:eastAsiaTheme="majorEastAsia"/>
          <w:bCs/>
          <w:kern w:val="0"/>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1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1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w:t>
      </w:r>
      <w:r>
        <w:rPr>
          <w:rFonts w:ascii="宋体" w:hAnsi="宋体"/>
          <w:color w:val="000000" w:themeColor="text1"/>
          <w:sz w:val="18"/>
          <w14:textFill>
            <w14:solidFill>
              <w14:schemeClr w14:val="tx1"/>
            </w14:solidFill>
          </w14:textFill>
        </w:rPr>
        <w:t>本产品</w:t>
      </w:r>
      <w:r>
        <w:rPr>
          <w:rFonts w:ascii="宋体" w:hAnsi="宋体"/>
          <w:bCs/>
          <w:color w:val="000000" w:themeColor="text1"/>
          <w:sz w:val="18"/>
          <w:szCs w:val="18"/>
          <w14:textFill>
            <w14:solidFill>
              <w14:schemeClr w14:val="tx1"/>
            </w14:solidFill>
          </w14:textFill>
        </w:rPr>
        <w:t>不投资于股票等权益性资产</w:t>
      </w:r>
      <w:r>
        <w:rPr>
          <w:rFonts w:ascii="宋体" w:hAnsi="宋体"/>
          <w:color w:val="000000" w:themeColor="text1"/>
          <w:sz w:val="18"/>
          <w14:textFill>
            <w14:solidFill>
              <w14:schemeClr w14:val="tx1"/>
            </w14:solidFill>
          </w14:textFill>
        </w:rPr>
        <w:t>。</w:t>
      </w:r>
    </w:p>
    <w:p>
      <w:pPr>
        <w:spacing w:line="360" w:lineRule="auto"/>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2</w:t>
      </w:r>
      <w:r>
        <w:rPr>
          <w:rFonts w:hint="eastAsia" w:asciiTheme="majorEastAsia" w:hAnsiTheme="majorEastAsia" w:eastAsiaTheme="majorEastAsia"/>
          <w:bCs/>
          <w:color w:val="000000" w:themeColor="text1"/>
          <w:sz w:val="18"/>
          <w:szCs w:val="18"/>
          <w14:textFill>
            <w14:solidFill>
              <w14:schemeClr w14:val="tx1"/>
            </w14:solidFill>
          </w14:textFill>
        </w:rPr>
        <w:t>）本产品不以放大交易为目的借入现金，且借入现金的比例不得超过资产净值的10%。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本产品秉承稳健投资风格，全部投资境内商业银行的美元存款或者存单资产，无汇率敞口，信用风险低。为客户提供低风险、稳健策略美元产品。</w:t>
      </w: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3" w:name="_Toc116649654"/>
      <w:bookmarkStart w:id="94" w:name="_Toc139991735"/>
      <w:bookmarkStart w:id="95" w:name="_Toc21988"/>
      <w:bookmarkStart w:id="96" w:name="_Toc26986"/>
      <w:bookmarkStart w:id="97" w:name="_Toc79154669"/>
      <w:bookmarkStart w:id="98" w:name="_Toc18329"/>
      <w:bookmarkStart w:id="99" w:name="_Toc4741"/>
      <w:bookmarkStart w:id="100" w:name="_Toc18797"/>
      <w:bookmarkStart w:id="101" w:name="_Toc74065742"/>
      <w:bookmarkStart w:id="102" w:name="_Toc18526"/>
      <w:bookmarkStart w:id="103" w:name="_Toc17912"/>
      <w:bookmarkStart w:id="104" w:name="_Toc7848"/>
      <w:bookmarkStart w:id="105" w:name="_Toc14893"/>
      <w:bookmarkStart w:id="106" w:name="_Toc141703885"/>
      <w:bookmarkStart w:id="107" w:name="_Toc1823"/>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14"/>
        <w:spacing w:line="360" w:lineRule="auto"/>
        <w:ind w:firstLine="361" w:firstLineChars="200"/>
        <w:rPr>
          <w:rFonts w:asciiTheme="majorEastAsia" w:hAnsiTheme="majorEastAsia" w:eastAsiaTheme="majorEastAsia"/>
          <w:b/>
          <w:color w:val="auto"/>
          <w:sz w:val="18"/>
          <w:szCs w:val="18"/>
        </w:rPr>
      </w:pPr>
      <w:bookmarkStart w:id="108" w:name="_Hlk490214295"/>
      <w:r>
        <w:rPr>
          <w:rFonts w:hint="eastAsia" w:asciiTheme="majorEastAsia" w:hAnsiTheme="majorEastAsia" w:eastAsiaTheme="majorEastAsia"/>
          <w:b/>
          <w:color w:val="auto"/>
          <w:sz w:val="18"/>
          <w:szCs w:val="18"/>
        </w:rPr>
        <w:t>（一）理财产品的资产的保管和处分</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08"/>
    <w:p>
      <w:pPr>
        <w:pStyle w:val="2"/>
        <w:spacing w:before="0" w:after="0" w:line="360" w:lineRule="auto"/>
        <w:jc w:val="center"/>
        <w:rPr>
          <w:rFonts w:ascii="Times New Roman"/>
          <w:sz w:val="30"/>
        </w:rPr>
      </w:pPr>
      <w:bookmarkStart w:id="109" w:name="_Toc610"/>
      <w:bookmarkStart w:id="110" w:name="_Toc123102453"/>
      <w:bookmarkStart w:id="111" w:name="_Toc4003"/>
      <w:bookmarkStart w:id="112" w:name="_Toc7920"/>
      <w:bookmarkStart w:id="113" w:name="_Toc20733"/>
      <w:bookmarkStart w:id="114" w:name="_Toc10463"/>
      <w:bookmarkStart w:id="115" w:name="_Toc48649707"/>
      <w:bookmarkStart w:id="116" w:name="_Toc74065743"/>
      <w:bookmarkStart w:id="117" w:name="_Toc123112234"/>
      <w:bookmarkStart w:id="118" w:name="_Toc23261"/>
      <w:bookmarkStart w:id="119" w:name="_Toc98560352"/>
      <w:bookmarkStart w:id="120" w:name="_Toc1427"/>
      <w:bookmarkStart w:id="121" w:name="_Toc23822"/>
      <w:bookmarkStart w:id="122" w:name="_Toc141703886"/>
      <w:bookmarkStart w:id="123" w:name="_Toc79392606"/>
      <w:bookmarkStart w:id="124" w:name="_Toc1270"/>
      <w:bookmarkStart w:id="125" w:name="_Toc116649655"/>
      <w:bookmarkStart w:id="126" w:name="_Toc123051452"/>
      <w:bookmarkStart w:id="127" w:name="_Toc139991736"/>
      <w:bookmarkStart w:id="128" w:name="_Toc79154670"/>
      <w:bookmarkStart w:id="129" w:name="_Toc17244"/>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1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14"/>
        <w:spacing w:line="360" w:lineRule="auto"/>
        <w:ind w:firstLine="361" w:firstLineChars="200"/>
        <w:rPr>
          <w:rFonts w:hAnsi="宋体"/>
          <w:b/>
          <w:bCs/>
          <w:sz w:val="18"/>
          <w:szCs w:val="18"/>
        </w:rPr>
      </w:pPr>
      <w:r>
        <w:rPr>
          <w:rFonts w:hint="eastAsia" w:hAnsi="宋体"/>
          <w:b/>
          <w:bCs/>
          <w:sz w:val="18"/>
          <w:szCs w:val="18"/>
        </w:rPr>
        <w:t>（一）估值目的</w:t>
      </w:r>
    </w:p>
    <w:p>
      <w:pPr>
        <w:pStyle w:val="1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14"/>
        <w:spacing w:line="360" w:lineRule="auto"/>
        <w:ind w:firstLine="361" w:firstLineChars="200"/>
        <w:rPr>
          <w:rFonts w:hAnsi="宋体"/>
          <w:b/>
          <w:bCs/>
          <w:sz w:val="18"/>
          <w:szCs w:val="18"/>
        </w:rPr>
      </w:pPr>
      <w:r>
        <w:rPr>
          <w:rFonts w:hint="eastAsia" w:hAnsi="宋体"/>
          <w:b/>
          <w:bCs/>
          <w:sz w:val="18"/>
          <w:szCs w:val="18"/>
        </w:rPr>
        <w:t>（二）估值频率</w:t>
      </w:r>
    </w:p>
    <w:p>
      <w:pPr>
        <w:pStyle w:val="14"/>
        <w:spacing w:line="360" w:lineRule="auto"/>
        <w:ind w:firstLine="450" w:firstLineChars="250"/>
        <w:rPr>
          <w:sz w:val="18"/>
          <w:szCs w:val="18"/>
        </w:rPr>
      </w:pPr>
      <w:r>
        <w:rPr>
          <w:rFonts w:hint="eastAsia" w:hAnsi="宋体"/>
          <w:sz w:val="18"/>
          <w:szCs w:val="18"/>
        </w:rPr>
        <w:t>本产品存续期间，每【周】进行一次估值。如遇产品到期日、季度末、半年度末、年度末等时间节点管理人将增加估值日。</w:t>
      </w:r>
    </w:p>
    <w:p>
      <w:pPr>
        <w:pStyle w:val="14"/>
        <w:spacing w:line="360" w:lineRule="auto"/>
        <w:ind w:firstLine="452" w:firstLineChars="250"/>
        <w:rPr>
          <w:rFonts w:hAnsi="宋体"/>
          <w:b/>
          <w:bCs/>
          <w:sz w:val="18"/>
          <w:szCs w:val="18"/>
        </w:rPr>
      </w:pPr>
      <w:r>
        <w:rPr>
          <w:rFonts w:hint="eastAsia" w:hAnsi="宋体"/>
          <w:b/>
          <w:bCs/>
          <w:sz w:val="18"/>
          <w:szCs w:val="18"/>
        </w:rPr>
        <w:t>（三）估值对象</w:t>
      </w:r>
    </w:p>
    <w:p>
      <w:pPr>
        <w:pStyle w:val="1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14"/>
        <w:spacing w:line="360" w:lineRule="auto"/>
        <w:ind w:firstLine="452" w:firstLineChars="250"/>
        <w:rPr>
          <w:rFonts w:hAnsi="宋体"/>
          <w:b/>
          <w:bCs/>
          <w:sz w:val="18"/>
          <w:szCs w:val="18"/>
        </w:rPr>
      </w:pPr>
      <w:r>
        <w:rPr>
          <w:rFonts w:hint="eastAsia" w:hAnsi="宋体"/>
          <w:b/>
          <w:bCs/>
          <w:sz w:val="18"/>
          <w:szCs w:val="18"/>
        </w:rPr>
        <w:t>（四）估值方法</w:t>
      </w:r>
    </w:p>
    <w:p>
      <w:pPr>
        <w:pStyle w:val="14"/>
        <w:spacing w:line="360" w:lineRule="auto"/>
        <w:ind w:firstLine="360" w:firstLineChars="200"/>
        <w:rPr>
          <w:rFonts w:hAnsi="宋体"/>
          <w:bCs/>
          <w:sz w:val="18"/>
          <w:szCs w:val="18"/>
        </w:rPr>
      </w:pPr>
      <w:r>
        <w:rPr>
          <w:rFonts w:hAnsi="宋体"/>
          <w:bCs/>
          <w:sz w:val="18"/>
          <w:szCs w:val="18"/>
        </w:rPr>
        <w:t>1.标准化债权类资产估值</w:t>
      </w:r>
    </w:p>
    <w:p>
      <w:pPr>
        <w:pStyle w:val="1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1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1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1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1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1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1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14"/>
        <w:spacing w:line="360" w:lineRule="auto"/>
        <w:ind w:firstLine="360" w:firstLineChars="200"/>
        <w:rPr>
          <w:rFonts w:hAnsi="宋体"/>
          <w:sz w:val="18"/>
          <w:szCs w:val="18"/>
        </w:rPr>
      </w:pPr>
      <w:r>
        <w:rPr>
          <w:rFonts w:hAnsi="宋体"/>
          <w:bCs/>
          <w:sz w:val="18"/>
          <w:szCs w:val="18"/>
        </w:rPr>
        <w:t>3.非标准化债权类资产</w:t>
      </w:r>
    </w:p>
    <w:p>
      <w:pPr>
        <w:pStyle w:val="1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14"/>
        <w:spacing w:line="360" w:lineRule="auto"/>
        <w:ind w:firstLine="360" w:firstLineChars="200"/>
        <w:rPr>
          <w:rFonts w:hAnsi="宋体"/>
          <w:bCs/>
          <w:sz w:val="18"/>
          <w:szCs w:val="18"/>
        </w:rPr>
      </w:pPr>
      <w:r>
        <w:rPr>
          <w:rFonts w:hAnsi="宋体"/>
          <w:bCs/>
          <w:sz w:val="18"/>
          <w:szCs w:val="18"/>
        </w:rPr>
        <w:t>4.上市公司股票估值</w:t>
      </w:r>
    </w:p>
    <w:p>
      <w:pPr>
        <w:pStyle w:val="1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1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1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1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1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1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14"/>
        <w:spacing w:line="360" w:lineRule="auto"/>
        <w:ind w:firstLine="360" w:firstLineChars="200"/>
        <w:rPr>
          <w:rFonts w:hAnsi="宋体"/>
          <w:bCs/>
          <w:sz w:val="18"/>
          <w:szCs w:val="18"/>
        </w:rPr>
      </w:pPr>
      <w:r>
        <w:rPr>
          <w:rFonts w:hAnsi="宋体"/>
          <w:bCs/>
          <w:sz w:val="18"/>
          <w:szCs w:val="18"/>
        </w:rPr>
        <w:t>5.未上市公司股权</w:t>
      </w:r>
    </w:p>
    <w:p>
      <w:pPr>
        <w:pStyle w:val="1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14"/>
        <w:spacing w:line="360" w:lineRule="auto"/>
        <w:ind w:firstLine="360" w:firstLineChars="200"/>
        <w:rPr>
          <w:rFonts w:hAnsi="宋体"/>
          <w:bCs/>
          <w:sz w:val="18"/>
          <w:szCs w:val="18"/>
        </w:rPr>
      </w:pPr>
      <w:r>
        <w:rPr>
          <w:rFonts w:hAnsi="宋体"/>
          <w:bCs/>
          <w:sz w:val="18"/>
          <w:szCs w:val="18"/>
        </w:rPr>
        <w:t>6.优先股</w:t>
      </w:r>
    </w:p>
    <w:p>
      <w:pPr>
        <w:pStyle w:val="1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14"/>
        <w:spacing w:line="360" w:lineRule="auto"/>
        <w:ind w:firstLine="360" w:firstLineChars="200"/>
        <w:rPr>
          <w:rFonts w:hAnsi="宋体"/>
          <w:bCs/>
          <w:sz w:val="18"/>
          <w:szCs w:val="18"/>
        </w:rPr>
      </w:pPr>
      <w:r>
        <w:rPr>
          <w:rFonts w:hAnsi="宋体"/>
          <w:bCs/>
          <w:sz w:val="18"/>
          <w:szCs w:val="18"/>
        </w:rPr>
        <w:t>7.证券投资基金估值</w:t>
      </w:r>
    </w:p>
    <w:p>
      <w:pPr>
        <w:pStyle w:val="14"/>
        <w:spacing w:line="360" w:lineRule="auto"/>
        <w:ind w:firstLine="360" w:firstLineChars="200"/>
        <w:rPr>
          <w:rFonts w:hAnsi="宋体"/>
          <w:sz w:val="18"/>
          <w:szCs w:val="18"/>
        </w:rPr>
      </w:pPr>
      <w:r>
        <w:rPr>
          <w:rFonts w:hint="eastAsia" w:hAnsi="宋体"/>
          <w:sz w:val="18"/>
          <w:szCs w:val="18"/>
        </w:rPr>
        <w:t>（1）非上市基金估值</w:t>
      </w:r>
    </w:p>
    <w:p>
      <w:pPr>
        <w:pStyle w:val="1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1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14"/>
        <w:spacing w:line="360" w:lineRule="auto"/>
        <w:ind w:firstLine="360" w:firstLineChars="200"/>
        <w:rPr>
          <w:rFonts w:hAnsi="宋体"/>
          <w:sz w:val="18"/>
          <w:szCs w:val="18"/>
        </w:rPr>
      </w:pPr>
      <w:r>
        <w:rPr>
          <w:rFonts w:hint="eastAsia" w:hAnsi="宋体"/>
          <w:sz w:val="18"/>
          <w:szCs w:val="18"/>
        </w:rPr>
        <w:t>（2）上市基金估值</w:t>
      </w:r>
    </w:p>
    <w:p>
      <w:pPr>
        <w:pStyle w:val="1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1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1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14"/>
        <w:spacing w:line="360" w:lineRule="auto"/>
        <w:ind w:firstLine="360" w:firstLineChars="200"/>
        <w:rPr>
          <w:rFonts w:hAnsi="宋体"/>
          <w:bCs/>
          <w:sz w:val="18"/>
          <w:szCs w:val="18"/>
        </w:rPr>
      </w:pPr>
      <w:r>
        <w:rPr>
          <w:rFonts w:hAnsi="宋体"/>
          <w:bCs/>
          <w:sz w:val="18"/>
          <w:szCs w:val="18"/>
        </w:rPr>
        <w:t>8.其他资产管理产品的估值</w:t>
      </w:r>
    </w:p>
    <w:p>
      <w:pPr>
        <w:pStyle w:val="1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14"/>
        <w:spacing w:line="360" w:lineRule="auto"/>
        <w:ind w:firstLine="360" w:firstLineChars="200"/>
        <w:rPr>
          <w:rFonts w:hAnsi="宋体"/>
          <w:bCs/>
          <w:sz w:val="18"/>
          <w:szCs w:val="18"/>
        </w:rPr>
      </w:pPr>
      <w:r>
        <w:rPr>
          <w:rFonts w:hAnsi="宋体"/>
          <w:bCs/>
          <w:sz w:val="18"/>
          <w:szCs w:val="18"/>
        </w:rPr>
        <w:t>9.衍生金融工具估值</w:t>
      </w:r>
    </w:p>
    <w:p>
      <w:pPr>
        <w:pStyle w:val="1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1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1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1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14"/>
        <w:spacing w:line="360" w:lineRule="auto"/>
        <w:ind w:firstLine="361" w:firstLineChars="200"/>
        <w:rPr>
          <w:rFonts w:hAnsi="宋体"/>
          <w:b/>
          <w:bCs/>
          <w:sz w:val="18"/>
          <w:szCs w:val="18"/>
        </w:rPr>
      </w:pPr>
      <w:r>
        <w:rPr>
          <w:rFonts w:hint="eastAsia" w:hAnsi="宋体"/>
          <w:b/>
          <w:bCs/>
          <w:sz w:val="18"/>
          <w:szCs w:val="18"/>
        </w:rPr>
        <w:t>（五）估值程序</w:t>
      </w:r>
    </w:p>
    <w:p>
      <w:pPr>
        <w:pStyle w:val="1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1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1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14"/>
        <w:spacing w:line="360" w:lineRule="auto"/>
        <w:ind w:firstLine="361" w:firstLineChars="200"/>
        <w:rPr>
          <w:rFonts w:hAnsi="宋体"/>
          <w:b/>
          <w:bCs/>
          <w:sz w:val="18"/>
          <w:szCs w:val="18"/>
        </w:rPr>
      </w:pPr>
      <w:r>
        <w:rPr>
          <w:rFonts w:hint="eastAsia" w:hAnsi="宋体"/>
          <w:b/>
          <w:bCs/>
          <w:sz w:val="18"/>
          <w:szCs w:val="18"/>
        </w:rPr>
        <w:t>（六）估值主体</w:t>
      </w:r>
    </w:p>
    <w:p>
      <w:pPr>
        <w:pStyle w:val="1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130" w:name="_Hlt70481650"/>
      <w:bookmarkEnd w:id="130"/>
      <w:bookmarkStart w:id="131" w:name="_Toc139991737"/>
      <w:bookmarkStart w:id="132" w:name="_Toc98560353"/>
      <w:bookmarkStart w:id="133" w:name="_Toc14835"/>
      <w:bookmarkStart w:id="134" w:name="_Toc116649656"/>
      <w:bookmarkStart w:id="135" w:name="_Toc3601"/>
      <w:bookmarkStart w:id="136" w:name="_Toc79154671"/>
      <w:bookmarkStart w:id="137" w:name="_Toc15143"/>
      <w:bookmarkStart w:id="138" w:name="_Toc74065744"/>
      <w:bookmarkStart w:id="139" w:name="_Toc26207"/>
      <w:bookmarkStart w:id="140" w:name="_Toc12245"/>
      <w:bookmarkStart w:id="141" w:name="_Toc141703887"/>
      <w:bookmarkStart w:id="142" w:name="_Toc31644"/>
      <w:bookmarkStart w:id="143" w:name="_Toc6405"/>
      <w:bookmarkStart w:id="144" w:name="_Toc123102454"/>
      <w:bookmarkStart w:id="145" w:name="_Toc31653"/>
      <w:bookmarkStart w:id="146" w:name="_Toc29251"/>
      <w:bookmarkStart w:id="147" w:name="_Toc123051453"/>
      <w:bookmarkStart w:id="148" w:name="_Toc31235"/>
      <w:bookmarkStart w:id="149" w:name="_Toc12311223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Start w:id="150" w:name="_Hlt55355235"/>
      <w:bookmarkEnd w:id="150"/>
      <w:bookmarkStart w:id="151" w:name="_Toc523711668"/>
      <w:bookmarkStart w:id="152" w:name="_Toc57530239"/>
      <w:bookmarkStart w:id="153" w:name="_Toc15118234"/>
      <w:bookmarkStart w:id="154" w:name="_Toc79392580"/>
    </w:p>
    <w:p>
      <w:pPr>
        <w:pStyle w:val="1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1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1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1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1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1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1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1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14"/>
        <w:spacing w:line="360" w:lineRule="auto"/>
        <w:ind w:firstLine="360" w:firstLineChars="200"/>
        <w:rPr>
          <w:rFonts w:hAnsi="宋体"/>
          <w:bCs/>
          <w:color w:val="auto"/>
          <w:sz w:val="18"/>
          <w:szCs w:val="18"/>
        </w:rPr>
      </w:pPr>
      <w:r>
        <w:rPr>
          <w:rFonts w:hAnsi="宋体"/>
          <w:bCs/>
          <w:color w:val="auto"/>
          <w:sz w:val="18"/>
          <w:szCs w:val="18"/>
        </w:rPr>
        <w:t>1.分配方案要点：</w:t>
      </w:r>
    </w:p>
    <w:p>
      <w:pPr>
        <w:pStyle w:val="1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1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1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1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14"/>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1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w:t>
      </w:r>
      <w:r>
        <w:rPr>
          <w:rFonts w:hAnsi="宋体"/>
          <w:color w:val="auto"/>
          <w:sz w:val="18"/>
          <w:szCs w:val="18"/>
        </w:rPr>
        <w:t>7</w:t>
      </w:r>
      <w:r>
        <w:rPr>
          <w:rFonts w:hint="eastAsia" w:hAnsi="宋体"/>
          <w:color w:val="auto"/>
          <w:sz w:val="18"/>
          <w:szCs w:val="18"/>
        </w:rPr>
        <w:t>】个工作日内分配理财利益（如有）。</w:t>
      </w:r>
    </w:p>
    <w:p>
      <w:pPr>
        <w:pStyle w:val="1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1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
      <w:pPr>
        <w:widowControl/>
        <w:spacing w:line="360" w:lineRule="auto"/>
        <w:jc w:val="left"/>
        <w:rPr>
          <w:rFonts w:ascii="宋体" w:hAnsi="宋体"/>
          <w:kern w:val="0"/>
          <w:sz w:val="18"/>
          <w:szCs w:val="18"/>
        </w:rPr>
      </w:pPr>
      <w:r>
        <w:rPr>
          <w:rFonts w:hAnsi="宋体"/>
          <w:sz w:val="18"/>
          <w:szCs w:val="18"/>
        </w:rPr>
        <w:br w:type="page"/>
      </w:r>
    </w:p>
    <w:bookmarkEnd w:id="151"/>
    <w:bookmarkEnd w:id="152"/>
    <w:bookmarkEnd w:id="153"/>
    <w:bookmarkEnd w:id="154"/>
    <w:p>
      <w:pPr>
        <w:pStyle w:val="2"/>
        <w:spacing w:before="0" w:after="0" w:line="360" w:lineRule="auto"/>
        <w:jc w:val="center"/>
        <w:rPr>
          <w:rFonts w:ascii="Times New Roman"/>
          <w:sz w:val="30"/>
        </w:rPr>
      </w:pPr>
      <w:bookmarkStart w:id="155" w:name="_Hlt88897298"/>
      <w:bookmarkEnd w:id="155"/>
      <w:bookmarkStart w:id="156" w:name="_Hlt88825574"/>
      <w:bookmarkEnd w:id="156"/>
      <w:bookmarkStart w:id="157" w:name="_Toc3771"/>
      <w:bookmarkStart w:id="158" w:name="_Toc9706"/>
      <w:bookmarkStart w:id="159" w:name="_Toc79154672"/>
      <w:bookmarkStart w:id="160" w:name="_Toc18567"/>
      <w:bookmarkStart w:id="161" w:name="_Toc98560354"/>
      <w:bookmarkStart w:id="162" w:name="_Toc74065745"/>
      <w:bookmarkStart w:id="163" w:name="_Toc123102455"/>
      <w:bookmarkStart w:id="164" w:name="_Toc25783"/>
      <w:bookmarkStart w:id="165" w:name="_Toc11030"/>
      <w:bookmarkStart w:id="166" w:name="_Toc3321"/>
      <w:bookmarkStart w:id="167" w:name="_Toc7058"/>
      <w:bookmarkStart w:id="168" w:name="_Toc116649657"/>
      <w:bookmarkStart w:id="169" w:name="_Toc6447"/>
      <w:bookmarkStart w:id="170" w:name="_Toc79392583"/>
      <w:bookmarkStart w:id="171" w:name="_Toc10650"/>
      <w:bookmarkStart w:id="172" w:name="_Toc123112236"/>
      <w:bookmarkStart w:id="173" w:name="_Toc141703888"/>
      <w:bookmarkStart w:id="174" w:name="_Toc123051454"/>
      <w:bookmarkStart w:id="175" w:name="_Toc139991738"/>
      <w:bookmarkStart w:id="176" w:name="_Toc4559"/>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360</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1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360</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w:t>
      </w:r>
      <w:r>
        <w:rPr>
          <w:rFonts w:hint="eastAsia" w:asciiTheme="majorEastAsia" w:hAnsiTheme="majorEastAsia" w:eastAsiaTheme="majorEastAsia"/>
          <w:sz w:val="18"/>
          <w:szCs w:val="18"/>
          <w:highlight w:val="yellow"/>
        </w:rPr>
        <w:t>360</w:t>
      </w:r>
      <w:r>
        <w:rPr>
          <w:rFonts w:hint="eastAsia" w:asciiTheme="majorEastAsia" w:hAnsiTheme="majorEastAsia" w:eastAsiaTheme="majorEastAsia"/>
          <w:sz w:val="18"/>
          <w:szCs w:val="18"/>
        </w:rPr>
        <w:t>。</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360</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1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1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77" w:name="_Toc1745"/>
      <w:bookmarkStart w:id="178" w:name="_Toc3963"/>
      <w:r>
        <w:br w:type="page"/>
      </w:r>
      <w:bookmarkStart w:id="179" w:name="_Toc31821"/>
      <w:bookmarkStart w:id="180" w:name="_Toc98560355"/>
      <w:bookmarkStart w:id="181" w:name="_Toc123112237"/>
      <w:bookmarkStart w:id="182" w:name="_Toc18206"/>
      <w:bookmarkStart w:id="183" w:name="_Toc21735"/>
      <w:bookmarkStart w:id="184" w:name="_Toc116649658"/>
      <w:bookmarkStart w:id="185" w:name="_Toc16164"/>
      <w:bookmarkStart w:id="186" w:name="_Toc123051455"/>
      <w:bookmarkStart w:id="187" w:name="_Toc79154673"/>
      <w:bookmarkStart w:id="188" w:name="_Toc725"/>
      <w:bookmarkStart w:id="189" w:name="_Toc74065746"/>
      <w:bookmarkStart w:id="190" w:name="_Toc3572"/>
      <w:bookmarkStart w:id="191" w:name="_Toc139991739"/>
      <w:bookmarkStart w:id="192" w:name="_Toc3080"/>
      <w:bookmarkStart w:id="193" w:name="_Toc123102456"/>
      <w:bookmarkStart w:id="194" w:name="_Toc141703889"/>
      <w:bookmarkStart w:id="195" w:name="_Toc10398"/>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spacing w:line="360" w:lineRule="auto"/>
        <w:ind w:firstLine="361" w:firstLineChars="200"/>
        <w:rPr>
          <w:rFonts w:asciiTheme="majorEastAsia" w:hAnsiTheme="majorEastAsia" w:eastAsiaTheme="majorEastAsia"/>
          <w:b/>
          <w:bCs/>
          <w:sz w:val="18"/>
          <w:szCs w:val="18"/>
        </w:rPr>
      </w:pPr>
      <w:bookmarkStart w:id="196" w:name="_Toc15118245"/>
      <w:bookmarkStart w:id="197" w:name="_Toc79392593"/>
      <w:bookmarkStart w:id="198"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bookmarkEnd w:id="196"/>
    <w:bookmarkEnd w:id="197"/>
    <w:bookmarkEnd w:id="198"/>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5】个工作日，清算期超过【5】个工作日的，将依约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部分终止的比例：理财产品将按比例（已变现资产/理财产品净资产）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部分终止的利益分配：产品管理人将依照销售文件公布部分终止日并指定利益分配日（一般为部分终止日之后的【5】个工作日以内）。产品管理人应将理财利益于指定的利益分配日（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理财产品部分终止日（含当日）至理财利益实际到账日之间，理财资金不计算收益。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3.理财产品到期日产品管理人按照《产品说明书》“第十条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p>
      <w:pPr>
        <w:pStyle w:val="2"/>
        <w:spacing w:before="0" w:after="0" w:line="360" w:lineRule="auto"/>
        <w:jc w:val="center"/>
        <w:rPr>
          <w:rFonts w:ascii="Times New Roman"/>
          <w:sz w:val="30"/>
        </w:rPr>
      </w:pPr>
      <w:r>
        <w:rPr>
          <w:rFonts w:ascii="Times New Roman"/>
          <w:b w:val="0"/>
          <w:bCs w:val="0"/>
          <w:kern w:val="2"/>
        </w:rPr>
        <w:br w:type="page"/>
      </w:r>
      <w:bookmarkStart w:id="199" w:name="_Toc123051456"/>
      <w:bookmarkStart w:id="200" w:name="_Toc116649659"/>
      <w:bookmarkStart w:id="201" w:name="_Toc17198"/>
      <w:bookmarkStart w:id="202" w:name="_Toc123102457"/>
      <w:bookmarkStart w:id="203" w:name="_Toc141703890"/>
      <w:bookmarkStart w:id="204" w:name="_Toc5170"/>
      <w:bookmarkStart w:id="205" w:name="_Toc74065747"/>
      <w:bookmarkStart w:id="206" w:name="_Toc79392622"/>
      <w:bookmarkStart w:id="207" w:name="_Toc32092"/>
      <w:bookmarkStart w:id="208" w:name="_Toc98560356"/>
      <w:bookmarkStart w:id="209" w:name="_Toc17920"/>
      <w:bookmarkStart w:id="210" w:name="_Toc29408"/>
      <w:bookmarkStart w:id="211" w:name="_Toc3329"/>
      <w:bookmarkStart w:id="212" w:name="_Toc21237"/>
      <w:bookmarkStart w:id="213" w:name="_Toc123112238"/>
      <w:bookmarkStart w:id="214" w:name="_Toc139991740"/>
      <w:bookmarkStart w:id="215" w:name="_Toc79154674"/>
      <w:bookmarkStart w:id="216" w:name="_Toc8791"/>
      <w:bookmarkStart w:id="217" w:name="_Toc739"/>
      <w:bookmarkStart w:id="218" w:name="_Toc32584"/>
      <w:bookmarkStart w:id="219" w:name="_Toc4864970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hAnsi="宋体"/>
          <w:sz w:val="18"/>
          <w:szCs w:val="18"/>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p>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220" w:name="_Toc116649660"/>
      <w:bookmarkStart w:id="221"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220"/>
      <w:bookmarkEnd w:id="221"/>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1" w:firstLineChars="20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公募基金、资产管理计划、信托计划等资产投资风险</w:t>
      </w:r>
    </w:p>
    <w:p>
      <w:pPr>
        <w:spacing w:line="360" w:lineRule="auto"/>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若本产品投资公募基金、资产管理计划、信托计划等时，可能因为公募基金、资产管理计划、信托计划等的管理人或受托人违法违规、未尽管理人或受托人职责或发生其他情形，或公募基金、资产管理计划、信托计划等出现因为特定原因而被提前终止的情况，可能造成本产品所投资的公募基金、资产管理计划、信托计划等的财产损失，从而影响投资者收益，甚至使本产品遭受损失。</w:t>
      </w:r>
    </w:p>
    <w:p>
      <w:pPr>
        <w:pStyle w:val="12"/>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8"/>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hint="eastAsia"/>
                <w:sz w:val="18"/>
                <w:szCs w:val="18"/>
              </w:rPr>
              <w:t>/线上确认</w:t>
            </w:r>
            <w:r>
              <w:rPr>
                <w:rFonts w:hint="eastAsia" w:cs="Arial"/>
                <w:sz w:val="18"/>
                <w:szCs w:val="18"/>
              </w:rPr>
              <w:t>）：</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w:t>
            </w:r>
            <w:r>
              <w:rPr>
                <w:sz w:val="18"/>
                <w:szCs w:val="18"/>
              </w:rPr>
              <w:t>签名</w:t>
            </w:r>
            <w:r>
              <w:rPr>
                <w:rFonts w:hint="eastAsia" w:cs="Arial"/>
                <w:sz w:val="18"/>
                <w:szCs w:val="18"/>
              </w:rPr>
              <w:t>/盖章</w:t>
            </w:r>
            <w:r>
              <w:rPr>
                <w:rFonts w:hint="eastAsia"/>
                <w:sz w:val="18"/>
                <w:szCs w:val="18"/>
              </w:rPr>
              <w:t>/线上确认</w:t>
            </w:r>
            <w:r>
              <w:rPr>
                <w:rFonts w:hint="eastAsia" w:cs="Arial"/>
                <w:sz w:val="18"/>
                <w:szCs w:val="18"/>
              </w:rPr>
              <w:t>）：</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14"/>
        <w:spacing w:line="360" w:lineRule="auto"/>
        <w:rPr>
          <w:rFonts w:hAnsi="宋体"/>
          <w:sz w:val="18"/>
          <w:szCs w:val="18"/>
        </w:rPr>
      </w:pPr>
    </w:p>
    <w:p>
      <w:pPr>
        <w:spacing w:line="360" w:lineRule="auto"/>
        <w:jc w:val="left"/>
        <w:rPr>
          <w:rFonts w:hint="eastAsia" w:ascii="宋体" w:hAnsi="宋体"/>
          <w:b/>
          <w:sz w:val="18"/>
          <w:szCs w:val="18"/>
        </w:rPr>
        <w:sectPr>
          <w:headerReference r:id="rId5" w:type="default"/>
          <w:footerReference r:id="rId6" w:type="default"/>
          <w:pgSz w:w="11906" w:h="16838"/>
          <w:pgMar w:top="1276" w:right="1800" w:bottom="1418" w:left="1800" w:header="567" w:footer="850" w:gutter="0"/>
          <w:pgNumType w:start="1"/>
          <w:cols w:space="425" w:num="1"/>
          <w:docGrid w:type="lines" w:linePitch="312" w:charSpace="0"/>
        </w:sectPr>
      </w:pPr>
    </w:p>
    <w:p>
      <w:pPr>
        <w:widowControl/>
        <w:spacing w:before="156"/>
        <w:jc w:val="center"/>
        <w:rPr>
          <w:rFonts w:ascii="黑体" w:hAnsi="黑体" w:eastAsia="黑体"/>
          <w:b/>
          <w:sz w:val="28"/>
          <w:szCs w:val="28"/>
        </w:rPr>
      </w:pPr>
      <w:r>
        <w:rPr>
          <w:rFonts w:hint="eastAsia" w:ascii="黑体" w:hAnsi="黑体" w:eastAsia="黑体"/>
          <w:b/>
          <w:sz w:val="28"/>
          <w:szCs w:val="28"/>
        </w:rPr>
        <w:t>兴银理财</w:t>
      </w:r>
      <w:r>
        <w:rPr>
          <w:rStyle w:val="10"/>
          <w:rFonts w:hint="eastAsia" w:ascii="黑体" w:hAnsi="黑体" w:eastAsia="黑体"/>
          <w:sz w:val="28"/>
          <w:szCs w:val="28"/>
        </w:rPr>
        <w:t>汇利稳健封闭式固收类</w:t>
      </w:r>
      <w:r>
        <w:rPr>
          <w:rFonts w:hint="eastAsia" w:ascii="黑体" w:hAnsi="黑体" w:eastAsia="黑体"/>
          <w:b/>
          <w:sz w:val="28"/>
          <w:szCs w:val="28"/>
        </w:rPr>
        <w:t>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7"/>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个人投资者适用</w:t>
            </w: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姓名</w:t>
            </w:r>
          </w:p>
        </w:tc>
        <w:tc>
          <w:tcPr>
            <w:tcW w:w="5061" w:type="dxa"/>
            <w:gridSpan w:val="3"/>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证件类型</w:t>
            </w:r>
          </w:p>
        </w:tc>
        <w:tc>
          <w:tcPr>
            <w:tcW w:w="1384" w:type="dxa"/>
            <w:shd w:val="solid" w:color="FFFFFF" w:fill="FFFFFF"/>
            <w:vAlign w:val="center"/>
          </w:tcPr>
          <w:p>
            <w:pPr>
              <w:spacing w:line="320" w:lineRule="exact"/>
              <w:jc w:val="left"/>
              <w:rPr>
                <w:rFonts w:ascii="宋体" w:hAnsi="宋体"/>
                <w:bCs/>
                <w:sz w:val="18"/>
                <w:szCs w:val="18"/>
              </w:rPr>
            </w:pPr>
          </w:p>
        </w:tc>
        <w:tc>
          <w:tcPr>
            <w:tcW w:w="1234"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证件号码</w:t>
            </w:r>
          </w:p>
        </w:tc>
        <w:tc>
          <w:tcPr>
            <w:tcW w:w="2443" w:type="dxa"/>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联系电话</w:t>
            </w:r>
          </w:p>
        </w:tc>
        <w:tc>
          <w:tcPr>
            <w:tcW w:w="1384" w:type="dxa"/>
            <w:shd w:val="solid" w:color="FFFFFF" w:fill="FFFFFF"/>
            <w:vAlign w:val="center"/>
          </w:tcPr>
          <w:p>
            <w:pPr>
              <w:spacing w:line="320" w:lineRule="exact"/>
              <w:jc w:val="left"/>
              <w:rPr>
                <w:rFonts w:ascii="宋体" w:hAnsi="宋体"/>
                <w:bCs/>
                <w:sz w:val="18"/>
                <w:szCs w:val="18"/>
              </w:rPr>
            </w:pPr>
          </w:p>
        </w:tc>
        <w:tc>
          <w:tcPr>
            <w:tcW w:w="1234"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电子邮箱</w:t>
            </w:r>
          </w:p>
        </w:tc>
        <w:tc>
          <w:tcPr>
            <w:tcW w:w="2443" w:type="dxa"/>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Cs/>
                <w:sz w:val="18"/>
                <w:szCs w:val="18"/>
              </w:rPr>
            </w:pPr>
            <w:r>
              <w:rPr>
                <w:rFonts w:hint="eastAsia" w:ascii="宋体" w:hAnsi="宋体"/>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4"/>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Cs/>
                <w:sz w:val="18"/>
                <w:szCs w:val="18"/>
              </w:rPr>
            </w:pPr>
            <w:r>
              <w:rPr>
                <w:rFonts w:hint="eastAsia" w:hAnsi="宋体"/>
                <w:sz w:val="18"/>
                <w:szCs w:val="18"/>
              </w:rPr>
              <w:t>★</w:t>
            </w:r>
            <w:r>
              <w:rPr>
                <w:rFonts w:hint="eastAsia" w:ascii="宋体" w:hAnsi="宋体"/>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75" w:hRule="atLeas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机构简介</w:t>
            </w:r>
          </w:p>
        </w:tc>
        <w:tc>
          <w:tcPr>
            <w:tcW w:w="5061" w:type="dxa"/>
            <w:gridSpan w:val="3"/>
            <w:tcBorders>
              <w:bottom w:val="single" w:color="auto" w:sz="12" w:space="0"/>
            </w:tcBorders>
            <w:shd w:val="solid" w:color="FFFFFF" w:fill="FFFFFF"/>
            <w:vAlign w:val="center"/>
          </w:tcPr>
          <w:p>
            <w:pPr>
              <w:pStyle w:val="14"/>
              <w:jc w:val="both"/>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02" w:hRule="atLeast"/>
          <w:jc w:val="center"/>
        </w:trPr>
        <w:tc>
          <w:tcPr>
            <w:tcW w:w="817" w:type="dxa"/>
            <w:shd w:val="solid" w:color="FFFFFF" w:fill="FFFFFF"/>
            <w:vAlign w:val="center"/>
          </w:tcPr>
          <w:p>
            <w:pPr>
              <w:pStyle w:val="4"/>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4"/>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pPr>
        <w:widowControl/>
        <w:spacing w:line="360" w:lineRule="auto"/>
        <w:jc w:val="left"/>
        <w:rPr>
          <w:rFonts w:ascii="黑体" w:hAnsi="黑体" w:eastAsia="黑体" w:cs="仿宋_GB2312"/>
          <w:kern w:val="0"/>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黑体" w:hAnsi="黑体" w:eastAsia="黑体" w:cs="仿宋_GB2312"/>
          <w:kern w:val="0"/>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将理财产品分为【】个风险等级</w:t>
      </w:r>
      <w:r>
        <w:rPr>
          <w:rFonts w:ascii="宋体" w:hAnsi="宋体" w:cs="仿宋_GB2312"/>
          <w:kern w:val="0"/>
          <w:sz w:val="18"/>
          <w:szCs w:val="18"/>
        </w:rPr>
        <w:t>：</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4"/>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参照本条第（1）款非机构投资者要求执行；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其他：</w:t>
      </w:r>
      <w:r>
        <w:rPr>
          <w:rFonts w:hint="eastAsia" w:asciiTheme="majorEastAsia" w:hAnsiTheme="majorEastAsia" w:eastAsiaTheme="majorEastAsia"/>
          <w:sz w:val="18"/>
          <w:szCs w:val="18"/>
          <w:u w:val="single"/>
        </w:rPr>
        <w:t xml:space="preserve">                               。</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w:t>
      </w:r>
      <w:r>
        <w:rPr>
          <w:rFonts w:hint="eastAsia" w:ascii="黑体" w:hAnsi="黑体" w:eastAsia="黑体" w:cs="仿宋_GB2312"/>
          <w:kern w:val="0"/>
          <w:sz w:val="18"/>
          <w:szCs w:val="18"/>
        </w:rPr>
        <w:t>.</w:t>
      </w:r>
      <w:r>
        <w:rPr>
          <w:rFonts w:ascii="黑体" w:hAnsi="黑体" w:eastAsia="黑体" w:cs="仿宋_GB2312"/>
          <w:kern w:val="0"/>
          <w:sz w:val="18"/>
          <w:szCs w:val="18"/>
        </w:rPr>
        <w:t>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w:t>
      </w:r>
      <w:r>
        <w:rPr>
          <w:rFonts w:hint="eastAsia" w:ascii="黑体" w:hAnsi="黑体" w:eastAsia="黑体" w:cs="仿宋_GB2312"/>
          <w:kern w:val="0"/>
          <w:sz w:val="18"/>
          <w:szCs w:val="18"/>
        </w:rPr>
        <w:t>.</w:t>
      </w:r>
      <w:r>
        <w:rPr>
          <w:rFonts w:ascii="黑体" w:hAnsi="黑体" w:eastAsia="黑体" w:cs="仿宋_GB2312"/>
          <w:kern w:val="0"/>
          <w:sz w:val="18"/>
          <w:szCs w:val="18"/>
        </w:rPr>
        <w:t>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w:t>
      </w:r>
      <w:r>
        <w:rPr>
          <w:rFonts w:hint="eastAsia" w:ascii="黑体" w:hAnsi="黑体" w:eastAsia="黑体" w:cs="仿宋_GB2312"/>
          <w:kern w:val="0"/>
          <w:sz w:val="18"/>
          <w:szCs w:val="18"/>
        </w:rPr>
        <w:t>.</w:t>
      </w:r>
      <w:r>
        <w:rPr>
          <w:rFonts w:ascii="黑体" w:hAnsi="黑体" w:eastAsia="黑体" w:cs="仿宋_GB2312"/>
          <w:kern w:val="0"/>
          <w:sz w:val="18"/>
          <w:szCs w:val="18"/>
        </w:rPr>
        <w:t>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由于国家有关法律、法规、规章、政策的改变、紧急措施的出台而导致甲方蒙受损失或协议终止的，乙方不承担责任。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w:t>
      </w:r>
      <w:r>
        <w:rPr>
          <w:rFonts w:hint="eastAsia" w:ascii="黑体" w:hAnsi="黑体" w:eastAsia="黑体" w:cs="仿宋_GB2312"/>
          <w:kern w:val="0"/>
          <w:sz w:val="18"/>
          <w:szCs w:val="18"/>
        </w:rPr>
        <w:t>.</w:t>
      </w:r>
      <w:r>
        <w:rPr>
          <w:rFonts w:ascii="黑体" w:hAnsi="黑体" w:eastAsia="黑体" w:cs="仿宋_GB2312"/>
          <w:kern w:val="0"/>
          <w:sz w:val="18"/>
          <w:szCs w:val="18"/>
        </w:rPr>
        <w:t>由于不可抗力或乙方无过错且无法防止的外因而导致的交易中断、延误等风险及损失，乙方不承担责任。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kern w:val="0"/>
          <w:sz w:val="18"/>
          <w:szCs w:val="18"/>
        </w:rPr>
        <w:t>.</w:t>
      </w:r>
      <w:r>
        <w:rPr>
          <w:rFonts w:ascii="黑体" w:hAnsi="黑体" w:eastAsia="黑体" w:cs="仿宋_GB2312"/>
          <w:kern w:val="0"/>
          <w:sz w:val="18"/>
          <w:szCs w:val="18"/>
        </w:rPr>
        <w:t>非因乙方原因（包括但不限于甲方遗失本协议、协议被盗用、交易账户被司法机关等有权部门冻结、扣划等原因）造成的损失，乙方不承担责任。</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w:t>
      </w:r>
      <w:r>
        <w:rPr>
          <w:rFonts w:hint="eastAsia" w:ascii="宋体" w:hAnsi="宋体" w:cs="仿宋_GB2312"/>
          <w:kern w:val="0"/>
          <w:sz w:val="18"/>
          <w:szCs w:val="18"/>
        </w:rPr>
        <w:t>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甲方通过乙方线下渠道购买理财产品的，本协议经甲方签名或盖章且乙方盖柜面业务章后生效（为避免歧义，乙方相关业务人员在本协议的签字仅为乙方内部风险控制要求，并不作为协议成立的条件，下同）。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b/>
          <w:kern w:val="0"/>
          <w:sz w:val="18"/>
          <w:szCs w:val="18"/>
        </w:rPr>
      </w:pP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甲方声明：</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1)甲方已经收到所购买乙方销售的理财产品的《投资协议书</w:t>
      </w:r>
      <w:r>
        <w:rPr>
          <w:rFonts w:hint="eastAsia" w:ascii="黑体" w:hAnsi="黑体" w:eastAsia="黑体" w:cs="仿宋_GB2312"/>
          <w:kern w:val="0"/>
          <w:sz w:val="18"/>
          <w:szCs w:val="18"/>
        </w:rPr>
        <w:t>》《产品说明书</w:t>
      </w:r>
      <w:r>
        <w:rPr>
          <w:rFonts w:ascii="黑体" w:hAnsi="黑体" w:eastAsia="黑体" w:cs="仿宋_GB2312"/>
          <w:kern w:val="0"/>
          <w:sz w:val="18"/>
          <w:szCs w:val="18"/>
        </w:rPr>
        <w:t>》《</w:t>
      </w:r>
      <w:r>
        <w:rPr>
          <w:rFonts w:hint="eastAsia" w:ascii="黑体" w:hAnsi="黑体" w:eastAsia="黑体" w:cs="仿宋_GB2312"/>
          <w:kern w:val="0"/>
          <w:sz w:val="18"/>
          <w:szCs w:val="18"/>
        </w:rPr>
        <w:t>（代理）销售协议书</w:t>
      </w:r>
      <w:r>
        <w:rPr>
          <w:rFonts w:ascii="黑体" w:hAnsi="黑体" w:eastAsia="黑体" w:cs="仿宋_GB2312"/>
          <w:kern w:val="0"/>
          <w:sz w:val="18"/>
          <w:szCs w:val="18"/>
        </w:rPr>
        <w:t>》《</w:t>
      </w:r>
      <w:r>
        <w:rPr>
          <w:rFonts w:hint="eastAsia" w:ascii="黑体" w:hAnsi="黑体" w:eastAsia="黑体" w:cs="仿宋_GB2312"/>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、赎回理财产品所产生的相关风险和不利后果。</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8"/>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1</w:t>
            </w:r>
            <w:r>
              <w:rPr>
                <w:rFonts w:hint="eastAsia" w:ascii="黑体" w:hAnsi="黑体" w:eastAsia="黑体"/>
                <w:kern w:val="0"/>
                <w:sz w:val="18"/>
                <w:szCs w:val="18"/>
              </w:rPr>
              <w:t>.</w:t>
            </w:r>
            <w:r>
              <w:rPr>
                <w:rFonts w:ascii="黑体" w:hAnsi="黑体" w:eastAsia="黑体"/>
                <w:kern w:val="0"/>
                <w:sz w:val="18"/>
                <w:szCs w:val="18"/>
              </w:rPr>
              <w:t>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74" w:hRule="exact"/>
        </w:trPr>
        <w:tc>
          <w:tcPr>
            <w:tcW w:w="675" w:type="dxa"/>
            <w:vMerge w:val="restart"/>
            <w:vAlign w:val="center"/>
          </w:tcPr>
          <w:p>
            <w:pPr>
              <w:spacing w:line="360" w:lineRule="auto"/>
              <w:jc w:val="center"/>
              <w:rPr>
                <w:b/>
                <w:kern w:val="0"/>
                <w:sz w:val="18"/>
                <w:szCs w:val="18"/>
              </w:rPr>
            </w:pPr>
            <w:r>
              <w:rPr>
                <w:rFonts w:hint="eastAsia"/>
                <w:b/>
                <w:kern w:val="0"/>
                <w:sz w:val="18"/>
                <w:szCs w:val="18"/>
              </w:rPr>
              <w:t>甲方签署栏</w:t>
            </w:r>
          </w:p>
        </w:tc>
        <w:tc>
          <w:tcPr>
            <w:tcW w:w="851" w:type="dxa"/>
          </w:tcPr>
          <w:p>
            <w:pPr>
              <w:spacing w:line="360" w:lineRule="auto"/>
              <w:rPr>
                <w:kern w:val="0"/>
                <w:sz w:val="18"/>
                <w:szCs w:val="18"/>
              </w:rPr>
            </w:pPr>
            <w:r>
              <w:rPr>
                <w:rFonts w:hint="eastAsia"/>
                <w:kern w:val="0"/>
                <w:sz w:val="18"/>
                <w:szCs w:val="18"/>
              </w:rPr>
              <w:t>个人投资者适用</w:t>
            </w:r>
          </w:p>
        </w:tc>
        <w:tc>
          <w:tcPr>
            <w:tcW w:w="6998" w:type="dxa"/>
          </w:tcPr>
          <w:p>
            <w:pPr>
              <w:spacing w:line="360" w:lineRule="auto"/>
              <w:rPr>
                <w:kern w:val="0"/>
                <w:sz w:val="18"/>
                <w:szCs w:val="18"/>
              </w:rPr>
            </w:pPr>
            <w:r>
              <w:rPr>
                <w:rFonts w:hint="eastAsia"/>
                <w:kern w:val="0"/>
                <w:sz w:val="18"/>
                <w:szCs w:val="18"/>
              </w:rPr>
              <w:t>甲方（签名/线上确认）：</w:t>
            </w:r>
          </w:p>
          <w:p>
            <w:pPr>
              <w:spacing w:line="360" w:lineRule="auto"/>
              <w:rPr>
                <w:b/>
                <w:kern w:val="0"/>
                <w:sz w:val="18"/>
                <w:szCs w:val="18"/>
              </w:rPr>
            </w:pPr>
          </w:p>
          <w:p>
            <w:pPr>
              <w:spacing w:line="360" w:lineRule="auto"/>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kern w:val="0"/>
                <w:sz w:val="18"/>
                <w:szCs w:val="18"/>
              </w:rPr>
            </w:pPr>
          </w:p>
        </w:tc>
        <w:tc>
          <w:tcPr>
            <w:tcW w:w="851" w:type="dxa"/>
          </w:tcPr>
          <w:p>
            <w:pPr>
              <w:spacing w:line="360" w:lineRule="auto"/>
              <w:rPr>
                <w:kern w:val="0"/>
                <w:sz w:val="18"/>
                <w:szCs w:val="18"/>
              </w:rPr>
            </w:pPr>
            <w:r>
              <w:rPr>
                <w:rFonts w:hint="eastAsia"/>
                <w:kern w:val="0"/>
                <w:sz w:val="18"/>
                <w:szCs w:val="18"/>
              </w:rPr>
              <w:t>机构投资者适用</w:t>
            </w:r>
          </w:p>
        </w:tc>
        <w:tc>
          <w:tcPr>
            <w:tcW w:w="6998" w:type="dxa"/>
          </w:tcPr>
          <w:p>
            <w:pPr>
              <w:spacing w:line="360" w:lineRule="auto"/>
              <w:rPr>
                <w:rFonts w:cs="Arial"/>
                <w:kern w:val="0"/>
                <w:sz w:val="18"/>
                <w:szCs w:val="18"/>
              </w:rPr>
            </w:pPr>
            <w:r>
              <w:rPr>
                <w:rFonts w:hint="eastAsia"/>
                <w:kern w:val="0"/>
                <w:sz w:val="18"/>
                <w:szCs w:val="18"/>
              </w:rPr>
              <w:t>甲方</w:t>
            </w:r>
            <w:r>
              <w:rPr>
                <w:rFonts w:hint="eastAsia" w:cs="Arial"/>
                <w:kern w:val="0"/>
                <w:sz w:val="18"/>
                <w:szCs w:val="18"/>
              </w:rPr>
              <w:t>（盖章/线上确认）：</w:t>
            </w:r>
          </w:p>
          <w:p>
            <w:pPr>
              <w:spacing w:line="360" w:lineRule="auto"/>
              <w:rPr>
                <w:rFonts w:cs="Arial"/>
                <w:kern w:val="0"/>
                <w:sz w:val="18"/>
                <w:szCs w:val="18"/>
              </w:rPr>
            </w:pPr>
          </w:p>
          <w:p>
            <w:pPr>
              <w:spacing w:line="360" w:lineRule="auto"/>
              <w:rPr>
                <w:rFonts w:cs="Arial"/>
                <w:kern w:val="0"/>
                <w:sz w:val="18"/>
                <w:szCs w:val="18"/>
              </w:rPr>
            </w:pPr>
            <w:r>
              <w:rPr>
                <w:rFonts w:hint="eastAsia" w:cs="Arial"/>
                <w:kern w:val="0"/>
                <w:sz w:val="18"/>
                <w:szCs w:val="18"/>
              </w:rPr>
              <w:t>甲方法定代表人或授权代理人（签名/盖章/线上确认）：</w:t>
            </w:r>
          </w:p>
          <w:p>
            <w:pPr>
              <w:spacing w:line="360" w:lineRule="auto"/>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spacing w:line="360" w:lineRule="auto"/>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spacing w:line="360" w:lineRule="auto"/>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rFonts w:hint="eastAsia" w:cs="Arial"/>
                <w:kern w:val="0"/>
                <w:sz w:val="18"/>
                <w:szCs w:val="18"/>
              </w:rPr>
              <w:t>/线上确认</w:t>
            </w:r>
            <w:r>
              <w:rPr>
                <w:kern w:val="0"/>
                <w:sz w:val="18"/>
                <w:szCs w:val="18"/>
              </w:rPr>
              <w:t>）</w:t>
            </w:r>
            <w:r>
              <w:rPr>
                <w:rFonts w:hint="eastAsia"/>
                <w:kern w:val="0"/>
                <w:sz w:val="18"/>
                <w:szCs w:val="18"/>
              </w:rPr>
              <w:t>：</w:t>
            </w:r>
          </w:p>
          <w:p>
            <w:pPr>
              <w:spacing w:line="360" w:lineRule="auto"/>
              <w:rPr>
                <w:b/>
                <w:kern w:val="0"/>
                <w:sz w:val="18"/>
                <w:szCs w:val="18"/>
              </w:rPr>
            </w:pPr>
          </w:p>
          <w:p>
            <w:pPr>
              <w:spacing w:line="360" w:lineRule="auto"/>
              <w:rPr>
                <w:kern w:val="0"/>
                <w:sz w:val="18"/>
                <w:szCs w:val="18"/>
              </w:rPr>
            </w:pPr>
            <w:r>
              <w:rPr>
                <w:rFonts w:hint="eastAsia"/>
                <w:kern w:val="0"/>
                <w:sz w:val="18"/>
                <w:szCs w:val="18"/>
              </w:rPr>
              <w:t>日期：</w:t>
            </w:r>
          </w:p>
        </w:tc>
      </w:tr>
    </w:tbl>
    <w:p>
      <w:pPr>
        <w:spacing w:line="360" w:lineRule="auto"/>
        <w:jc w:val="left"/>
        <w:rPr>
          <w:rFonts w:hint="eastAsia" w:ascii="宋体" w:hAnsi="宋体"/>
          <w:b/>
          <w:sz w:val="18"/>
          <w:szCs w:val="18"/>
        </w:rPr>
        <w:sectPr>
          <w:headerReference r:id="rId7" w:type="default"/>
          <w:footerReference r:id="rId8" w:type="default"/>
          <w:pgSz w:w="11906" w:h="16838"/>
          <w:pgMar w:top="1440" w:right="1800" w:bottom="1440" w:left="1800" w:header="567" w:footer="964" w:gutter="0"/>
          <w:cols w:space="425" w:num="1"/>
          <w:docGrid w:type="lines" w:linePitch="312" w:charSpace="0"/>
        </w:sect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r>
        <w:rPr>
          <w:rStyle w:val="10"/>
          <w:rFonts w:hint="eastAsia" w:ascii="黑体" w:hAnsi="黑体" w:eastAsia="黑体"/>
          <w:sz w:val="28"/>
          <w:szCs w:val="28"/>
        </w:rPr>
        <w:t>汇利稳健封闭式固收类</w:t>
      </w:r>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bCs/>
          <w:sz w:val="18"/>
          <w:szCs w:val="18"/>
        </w:rPr>
        <w:t>兴银理财汇利稳健一年封闭式</w:t>
      </w:r>
      <w:r>
        <w:rPr>
          <w:rFonts w:ascii="宋体" w:hAnsi="宋体"/>
          <w:bCs/>
          <w:sz w:val="18"/>
          <w:szCs w:val="18"/>
        </w:rPr>
        <w:t>71</w:t>
      </w:r>
      <w:r>
        <w:rPr>
          <w:rFonts w:hint="eastAsia" w:ascii="宋体" w:hAnsi="宋体"/>
          <w:bCs/>
          <w:sz w:val="18"/>
          <w:szCs w:val="18"/>
        </w:rPr>
        <w:t>期固收类理财产品</w:t>
      </w:r>
      <w:r>
        <w:rPr>
          <w:rFonts w:hint="eastAsia" w:asciiTheme="majorEastAsia" w:hAnsiTheme="majorEastAsia" w:eastAsiaTheme="majorEastAsia"/>
          <w:bCs/>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【汇利稳健一年封闭式71期A（纯享款）】（适用【A】类份额）</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【汇利稳健一年封闭式71期现汇B（纯享款）】（适用【B】类份额）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【汇利稳健一年封闭式71期现汇C（纯享款）】（适用【C】类份额）</w:t>
      </w:r>
    </w:p>
    <w:p>
      <w:pPr>
        <w:ind w:firstLine="448" w:firstLineChars="249"/>
        <w:rPr>
          <w:rFonts w:ascii="宋体" w:hAnsi="宋体" w:cs="仿宋_GB2312"/>
          <w:kern w:val="0"/>
          <w:sz w:val="18"/>
          <w:szCs w:val="18"/>
        </w:rPr>
      </w:pPr>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r>
        <w:rPr>
          <w:rFonts w:ascii="宋体" w:hAnsi="宋体"/>
          <w:bCs/>
          <w:sz w:val="18"/>
          <w:szCs w:val="18"/>
        </w:rPr>
        <w:t>Z7002024001614</w:t>
      </w:r>
      <w:r>
        <w:rPr>
          <w:rFonts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宋体" w:hAnsi="宋体" w:cs="仿宋_GB2312"/>
          <w:kern w:val="0"/>
          <w:sz w:val="18"/>
          <w:szCs w:val="18"/>
        </w:rPr>
      </w:pPr>
      <w:r>
        <w:rPr>
          <w:rFonts w:hint="eastAsia" w:ascii="宋体" w:hAnsi="宋体" w:cs="仿宋_GB2312"/>
          <w:kern w:val="0"/>
          <w:sz w:val="18"/>
          <w:szCs w:val="18"/>
        </w:rPr>
        <w:t>【3</w:t>
      </w:r>
      <w:r>
        <w:rPr>
          <w:rFonts w:ascii="宋体" w:hAnsi="宋体" w:cs="仿宋_GB2312"/>
          <w:kern w:val="0"/>
          <w:sz w:val="18"/>
          <w:szCs w:val="18"/>
        </w:rPr>
        <w:t>64</w:t>
      </w:r>
      <w:r>
        <w:rPr>
          <w:rFonts w:hint="eastAsia" w:ascii="宋体" w:hAnsi="宋体" w:cs="仿宋_GB2312"/>
          <w:kern w:val="0"/>
          <w:sz w:val="18"/>
          <w:szCs w:val="18"/>
        </w:rPr>
        <w:t>】天</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w:t>
      </w:r>
      <w:r>
        <w:rPr>
          <w:rFonts w:ascii="宋体" w:hAnsi="宋体" w:cs="仿宋_GB2312"/>
          <w:kern w:val="0"/>
          <w:sz w:val="18"/>
          <w:szCs w:val="18"/>
        </w:rPr>
        <w:t>1】</w:t>
      </w:r>
      <w:r>
        <w:rPr>
          <w:rFonts w:hint="eastAsia" w:ascii="宋体" w:hAnsi="宋体" w:cs="仿宋_GB2312"/>
          <w:kern w:val="0"/>
          <w:sz w:val="18"/>
          <w:szCs w:val="18"/>
        </w:rPr>
        <w:t>（产品管理人定义的产品风险评级为【R</w:t>
      </w:r>
      <w:r>
        <w:rPr>
          <w:rFonts w:ascii="宋体" w:hAnsi="宋体" w:cs="仿宋_GB2312"/>
          <w:kern w:val="0"/>
          <w:sz w:val="18"/>
          <w:szCs w:val="18"/>
        </w:rPr>
        <w:t>1</w:t>
      </w:r>
      <w:r>
        <w:rPr>
          <w:rFonts w:hint="eastAsia" w:ascii="宋体" w:hAnsi="宋体" w:cs="仿宋_GB2312"/>
          <w:kern w:val="0"/>
          <w:sz w:val="18"/>
          <w:szCs w:val="18"/>
        </w:rPr>
        <w:t>】；代理销售机构定义的产品风险评级为【R</w:t>
      </w:r>
      <w:r>
        <w:rPr>
          <w:rFonts w:ascii="宋体" w:hAnsi="宋体" w:cs="仿宋_GB2312"/>
          <w:kern w:val="0"/>
          <w:sz w:val="18"/>
          <w:szCs w:val="18"/>
        </w:rPr>
        <w:t>1</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ind w:firstLine="361" w:firstLineChars="20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公募基金、资产管理计划、信托计划等资产投资风险</w:t>
      </w:r>
    </w:p>
    <w:p>
      <w:pPr>
        <w:ind w:firstLine="360" w:firstLineChars="2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若本产品投资公募基金、资产管理计划、信托计划等时，可能因为公募基金、资产管理计划、信托计划等的管理人或受托人违法违规、未尽管理人或受托人职责或发生其他情形，或公募基金、资产管理计划、信托计划等出现因为特定原因而被提前终止的情况，可能造成本产品所投资的公募基金、资产管理计划、信托计划等的财产损失，从而影响投资者收益，甚至使本产品遭受损失。</w:t>
      </w:r>
    </w:p>
    <w:p>
      <w:pPr>
        <w:pStyle w:val="12"/>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2"/>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2"/>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2"/>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2"/>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2"/>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2"/>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2"/>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2"/>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2"/>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2"/>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2"/>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2"/>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2"/>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2"/>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2"/>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2"/>
        <w:ind w:firstLineChars="0"/>
        <w:rPr>
          <w:rFonts w:ascii="宋体" w:hAnsi="宋体"/>
          <w:b/>
          <w:bCs/>
          <w:sz w:val="18"/>
          <w:szCs w:val="18"/>
        </w:rPr>
      </w:pPr>
      <w:r>
        <w:rPr>
          <w:rFonts w:hint="eastAsia" w:ascii="宋体" w:hAnsi="宋体"/>
          <w:b/>
          <w:bCs/>
          <w:sz w:val="18"/>
          <w:szCs w:val="18"/>
        </w:rPr>
        <w:t>17.关联交易风险</w:t>
      </w:r>
    </w:p>
    <w:p>
      <w:pPr>
        <w:pStyle w:val="12"/>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 xml:space="preserve">销售机构（【  </w:t>
      </w:r>
      <w:r>
        <w:rPr>
          <w:rFonts w:ascii="宋体" w:hAnsi="宋体"/>
          <w:sz w:val="18"/>
          <w:szCs w:val="18"/>
        </w:rPr>
        <w:t xml:space="preserve">                 </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Pr>
        <w:spacing w:line="360" w:lineRule="auto"/>
        <w:jc w:val="left"/>
        <w:rPr>
          <w:rFonts w:hint="eastAsia" w:ascii="宋体" w:hAnsi="宋体"/>
          <w:b/>
          <w:sz w:val="18"/>
          <w:szCs w:val="18"/>
        </w:rPr>
        <w:sectPr>
          <w:headerReference r:id="rId9" w:type="default"/>
          <w:footerReference r:id="rId10" w:type="default"/>
          <w:pgSz w:w="11906" w:h="16838"/>
          <w:pgMar w:top="1440" w:right="1800" w:bottom="1440" w:left="1800" w:header="567" w:footer="964" w:gutter="0"/>
          <w:cols w:space="425" w:num="1"/>
          <w:docGrid w:type="lines" w:linePitch="312" w:charSpace="0"/>
        </w:sectPr>
      </w:pP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兴银理财汇利稳健封闭式固收类理财产品</w:t>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w:t>
      </w:r>
      <w:r>
        <w:rPr>
          <w:rFonts w:hint="eastAsia" w:ascii="宋体" w:hAnsi="宋体"/>
          <w:sz w:val="18"/>
          <w:szCs w:val="18"/>
          <w:lang w:val="en-US" w:eastAsia="zh-CN"/>
        </w:rPr>
        <w:t xml:space="preserve">    </w:t>
      </w:r>
      <w:r>
        <w:rPr>
          <w:rFonts w:hint="eastAsia" w:ascii="宋体" w:hAnsi="宋体"/>
          <w:sz w:val="18"/>
          <w:szCs w:val="18"/>
        </w:rPr>
        <w:t>】以(□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sz w:val="18"/>
          <w:szCs w:val="18"/>
        </w:rPr>
        <w:t>如影响您风险承受能力的因素发生变化，请您及时重新完成风险承受能力评估。</w:t>
      </w:r>
    </w:p>
    <w:p>
      <w:pPr>
        <w:ind w:firstLine="360" w:firstLineChars="200"/>
        <w:rPr>
          <w:rFonts w:ascii="宋体" w:hAnsi="宋体"/>
          <w:sz w:val="18"/>
          <w:szCs w:val="18"/>
        </w:rPr>
      </w:pPr>
      <w:r>
        <w:rPr>
          <w:rFonts w:ascii="宋体" w:hAnsi="宋体"/>
          <w:sz w:val="18"/>
          <w:szCs w:val="18"/>
        </w:rPr>
        <w:t>2</w:t>
      </w:r>
      <w:r>
        <w:rPr>
          <w:rFonts w:hint="eastAsia" w:ascii="宋体" w:hAnsi="宋体"/>
          <w:sz w:val="18"/>
          <w:szCs w:val="18"/>
        </w:rPr>
        <w:t xml:space="preserve">. </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投资者风险承受能力，个人投资者由低至高分为【C</w:t>
      </w:r>
      <w:r>
        <w:rPr>
          <w:rFonts w:ascii="宋体" w:hAnsi="宋体"/>
          <w:sz w:val="18"/>
          <w:szCs w:val="18"/>
        </w:rPr>
        <w:t>1</w:t>
      </w:r>
      <w:r>
        <w:rPr>
          <w:rFonts w:hint="eastAsia" w:ascii="宋体" w:hAnsi="宋体"/>
          <w:sz w:val="18"/>
          <w:szCs w:val="18"/>
        </w:rPr>
        <w:t>-C</w:t>
      </w:r>
      <w:r>
        <w:rPr>
          <w:rFonts w:ascii="宋体" w:hAnsi="宋体"/>
          <w:sz w:val="18"/>
          <w:szCs w:val="18"/>
        </w:rPr>
        <w:t>6</w:t>
      </w:r>
      <w:r>
        <w:rPr>
          <w:rFonts w:hint="eastAsia" w:ascii="宋体" w:hAnsi="宋体"/>
          <w:sz w:val="18"/>
          <w:szCs w:val="18"/>
        </w:rPr>
        <w:t>六个等级】</w:t>
      </w:r>
      <w:r>
        <w:rPr>
          <w:rFonts w:ascii="宋体" w:hAnsi="宋体"/>
          <w:sz w:val="18"/>
          <w:szCs w:val="18"/>
        </w:rPr>
        <w:t>。其中，</w:t>
      </w:r>
      <w:r>
        <w:rPr>
          <w:rFonts w:hint="eastAsia" w:ascii="宋体" w:hAnsi="宋体"/>
          <w:sz w:val="18"/>
          <w:szCs w:val="18"/>
        </w:rPr>
        <w:t>【C</w:t>
      </w:r>
      <w:r>
        <w:rPr>
          <w:rFonts w:ascii="宋体" w:hAnsi="宋体"/>
          <w:sz w:val="18"/>
          <w:szCs w:val="18"/>
        </w:rPr>
        <w:t>1</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【C</w:t>
      </w:r>
      <w:r>
        <w:rPr>
          <w:rFonts w:ascii="宋体" w:hAnsi="宋体"/>
          <w:sz w:val="18"/>
          <w:szCs w:val="18"/>
        </w:rPr>
        <w:t>6</w:t>
      </w:r>
      <w:r>
        <w:rPr>
          <w:rFonts w:hint="eastAsia" w:ascii="宋体" w:hAnsi="宋体"/>
          <w:sz w:val="18"/>
          <w:szCs w:val="18"/>
        </w:rPr>
        <w:t>】</w:t>
      </w:r>
      <w:r>
        <w:rPr>
          <w:rFonts w:ascii="宋体" w:hAnsi="宋体"/>
          <w:sz w:val="18"/>
          <w:szCs w:val="18"/>
        </w:rPr>
        <w:t>为风险承受能力最高类别。</w:t>
      </w:r>
      <w:r>
        <w:rPr>
          <w:rFonts w:hint="eastAsia" w:ascii="宋体" w:hAnsi="宋体"/>
          <w:sz w:val="18"/>
          <w:szCs w:val="18"/>
        </w:rPr>
        <w:t>投资者根据其风险承受能力评级购买对应的理财产品。</w:t>
      </w:r>
      <w:r>
        <w:rPr>
          <w:rFonts w:ascii="宋体" w:hAnsi="宋体"/>
          <w:sz w:val="18"/>
          <w:szCs w:val="18"/>
        </w:rPr>
        <w:t>投资者风险承受能力评级类型与适合购买的理财产品的对应关系为：</w:t>
      </w:r>
    </w:p>
    <w:tbl>
      <w:tblPr>
        <w:tblStyle w:val="7"/>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16"/>
        <w:gridCol w:w="4821"/>
        <w:gridCol w:w="28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安逸型（R1）</w:t>
            </w:r>
          </w:p>
        </w:tc>
        <w:tc>
          <w:tcPr>
            <w:tcW w:w="486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本金风险低，产品投资目标不能实现的概率较低；或投资范围仅限于货币市场工具等风险极低的短期金融资产。</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安逸型（C1）及以上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谨慎型（R2）</w:t>
            </w:r>
          </w:p>
        </w:tc>
        <w:tc>
          <w:tcPr>
            <w:tcW w:w="486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本金风险相对较小，收益浮动但相对较小。产品结构简单，过往业绩及净值的历史波动率低；投资标的流动性很好或为较高等级的信用主体；或者衍生品及杠杆交易对净值波动极小；估值政策清晰。</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谨慎型（C2）及以上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稳健型（R3）</w:t>
            </w:r>
          </w:p>
        </w:tc>
        <w:tc>
          <w:tcPr>
            <w:tcW w:w="486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产品有一定的本金风险，收益浮动且有一定波动。产品结构简单，过往业绩及净值的历史波动率较低；投资标的流动性好或为中等及以上的信用主体；或者投资衍生品以套期保值为目的，衍生品及杠杆交易对净值波动较小；估值政策清晰。</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稳健型（C3）及以上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增长型（R4）</w:t>
            </w:r>
          </w:p>
        </w:tc>
        <w:tc>
          <w:tcPr>
            <w:tcW w:w="486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产品本金风险较大。产品主要投资于流动性较好的投资标的，产品结构简单，但收益浮动且波动很大，过往业绩及净值的历史波动率较高；或者投资标的流动性较差或为中等以下的信用主体，但产品结构简单，且不投资于衍生品及杠杆交易；估值政策简单；或者投资衍生品以套期保值为目的，衍生品及杠杆交易对净值波动较大，估值政策较清晰。</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增长型（C4）及以上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进取型（R5）</w:t>
            </w:r>
          </w:p>
        </w:tc>
        <w:tc>
          <w:tcPr>
            <w:tcW w:w="486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产品本金风险很大，收益浮动且波动很大。产品结构较复杂，过往业绩及净值的历史波动率高；或者投资标的流动性较差或为低等级的信用主体，期限较长；或者投资衍生品以追求收益为目的，衍生品及杠杆交易对净值波动很大；估值政策较复杂。投资者要作出谨慎的产品选择，积极的关注相关风险。</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进取型（C5）及以上</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right="84" w:rightChars="40"/>
        <w:jc w:val="right"/>
        <w:rPr>
          <w:rFonts w:ascii="宋体" w:hAnsi="宋体"/>
          <w:sz w:val="18"/>
          <w:szCs w:val="18"/>
        </w:rPr>
      </w:pPr>
    </w:p>
    <w:p>
      <w:pPr>
        <w:widowControl/>
        <w:jc w:val="left"/>
        <w:rPr>
          <w:rFonts w:ascii="宋体" w:hAnsi="宋体"/>
          <w:b/>
          <w:sz w:val="28"/>
          <w:szCs w:val="28"/>
        </w:rPr>
      </w:pPr>
      <w:r>
        <w:rPr>
          <w:rFonts w:ascii="宋体" w:hAnsi="宋体"/>
          <w:b/>
          <w:sz w:val="28"/>
          <w:szCs w:val="28"/>
        </w:rPr>
        <w:br w:type="page"/>
      </w:r>
    </w:p>
    <w:p>
      <w:pPr>
        <w:adjustRightInd w:val="0"/>
        <w:spacing w:line="280" w:lineRule="atLeast"/>
        <w:jc w:val="center"/>
        <w:rPr>
          <w:rStyle w:val="10"/>
          <w:rFonts w:ascii="黑体" w:hAnsi="黑体" w:eastAsia="黑体"/>
          <w:sz w:val="28"/>
          <w:szCs w:val="28"/>
        </w:rPr>
      </w:pPr>
      <w:r>
        <w:rPr>
          <w:rStyle w:val="10"/>
          <w:rFonts w:hint="eastAsia" w:ascii="黑体" w:hAnsi="黑体" w:eastAsia="黑体"/>
          <w:sz w:val="28"/>
          <w:szCs w:val="28"/>
        </w:rPr>
        <w:t>兴银理财汇利稳健封闭式固收类理财产品</w:t>
      </w:r>
    </w:p>
    <w:p>
      <w:pPr>
        <w:adjustRightInd w:val="0"/>
        <w:spacing w:line="280" w:lineRule="atLeast"/>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spacing w:line="280" w:lineRule="atLeast"/>
        <w:jc w:val="center"/>
        <w:rPr>
          <w:rFonts w:hAnsi="宋体"/>
          <w:b/>
          <w:color w:val="auto"/>
          <w:sz w:val="28"/>
          <w:szCs w:val="28"/>
        </w:rPr>
      </w:pPr>
      <w:r>
        <w:rPr>
          <w:rFonts w:hint="eastAsia" w:hAnsi="宋体"/>
          <w:b/>
          <w:color w:val="auto"/>
          <w:sz w:val="28"/>
          <w:szCs w:val="28"/>
        </w:rPr>
        <w:t>（适用于机构投资者：</w:t>
      </w:r>
      <w:r>
        <w:rPr>
          <w:rFonts w:hAnsi="宋体"/>
          <w:b/>
          <w:color w:val="auto"/>
          <w:sz w:val="28"/>
          <w:szCs w:val="28"/>
        </w:rPr>
        <w:t>一般机构客户</w:t>
      </w:r>
      <w:r>
        <w:rPr>
          <w:rFonts w:hint="eastAsia" w:hAnsi="宋体"/>
          <w:b/>
          <w:color w:val="auto"/>
          <w:sz w:val="28"/>
          <w:szCs w:val="28"/>
        </w:rPr>
        <w:t>）</w:t>
      </w:r>
    </w:p>
    <w:p>
      <w:pPr>
        <w:spacing w:line="280" w:lineRule="atLeast"/>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w:t>
      </w:r>
      <w:r>
        <w:rPr>
          <w:rFonts w:hint="eastAsia" w:ascii="宋体" w:hAnsi="宋体"/>
          <w:sz w:val="18"/>
          <w:szCs w:val="18"/>
          <w:lang w:val="en-US" w:eastAsia="zh-CN"/>
        </w:rPr>
        <w:t xml:space="preserve">    </w:t>
      </w:r>
      <w:r>
        <w:rPr>
          <w:rFonts w:hint="eastAsia" w:ascii="宋体" w:hAnsi="宋体"/>
          <w:sz w:val="18"/>
          <w:szCs w:val="18"/>
        </w:rPr>
        <w:t>】以(□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sz w:val="18"/>
          <w:szCs w:val="18"/>
        </w:rPr>
        <w:t>如影响您风险承受能力的因素发生变化，请您及时重新完成风险承受能力评估。</w:t>
      </w:r>
    </w:p>
    <w:p>
      <w:pPr>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投资者风险承受能力，机构投资者由低至高分为【C</w:t>
      </w:r>
      <w:r>
        <w:rPr>
          <w:rFonts w:ascii="宋体" w:hAnsi="宋体"/>
          <w:sz w:val="18"/>
          <w:szCs w:val="18"/>
        </w:rPr>
        <w:t>1</w:t>
      </w:r>
      <w:r>
        <w:rPr>
          <w:rFonts w:hint="eastAsia" w:ascii="宋体" w:hAnsi="宋体"/>
          <w:sz w:val="18"/>
          <w:szCs w:val="18"/>
        </w:rPr>
        <w:t>-C</w:t>
      </w:r>
      <w:r>
        <w:rPr>
          <w:rFonts w:ascii="宋体" w:hAnsi="宋体"/>
          <w:sz w:val="18"/>
          <w:szCs w:val="18"/>
        </w:rPr>
        <w:t>5</w:t>
      </w:r>
      <w:r>
        <w:rPr>
          <w:rFonts w:hint="eastAsia" w:ascii="宋体" w:hAnsi="宋体"/>
          <w:sz w:val="18"/>
          <w:szCs w:val="18"/>
        </w:rPr>
        <w:t>】</w:t>
      </w:r>
      <w:r>
        <w:rPr>
          <w:rFonts w:ascii="宋体" w:hAnsi="宋体"/>
          <w:sz w:val="18"/>
          <w:szCs w:val="18"/>
        </w:rPr>
        <w:t>。其中，</w:t>
      </w:r>
      <w:r>
        <w:rPr>
          <w:rFonts w:hint="eastAsia" w:ascii="宋体" w:hAnsi="宋体"/>
          <w:sz w:val="18"/>
          <w:szCs w:val="18"/>
        </w:rPr>
        <w:t>【C</w:t>
      </w:r>
      <w:r>
        <w:rPr>
          <w:rFonts w:ascii="宋体" w:hAnsi="宋体"/>
          <w:sz w:val="18"/>
          <w:szCs w:val="18"/>
        </w:rPr>
        <w:t>1</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【C</w:t>
      </w:r>
      <w:r>
        <w:rPr>
          <w:rFonts w:ascii="宋体" w:hAnsi="宋体"/>
          <w:sz w:val="18"/>
          <w:szCs w:val="18"/>
        </w:rPr>
        <w:t>5</w:t>
      </w:r>
      <w:r>
        <w:rPr>
          <w:rFonts w:hint="eastAsia" w:ascii="宋体" w:hAnsi="宋体"/>
          <w:sz w:val="18"/>
          <w:szCs w:val="18"/>
        </w:rPr>
        <w:t>】</w:t>
      </w:r>
      <w:r>
        <w:rPr>
          <w:rFonts w:ascii="宋体" w:hAnsi="宋体"/>
          <w:sz w:val="18"/>
          <w:szCs w:val="18"/>
        </w:rPr>
        <w:t>为风险承受能力最高类别。</w:t>
      </w:r>
      <w:r>
        <w:rPr>
          <w:rFonts w:hint="eastAsia" w:ascii="宋体" w:hAnsi="宋体"/>
          <w:sz w:val="18"/>
          <w:szCs w:val="18"/>
        </w:rPr>
        <w:t>投资者根据其风险承受能力评级购买对应的理财产品。</w:t>
      </w:r>
      <w:r>
        <w:rPr>
          <w:rFonts w:ascii="宋体" w:hAnsi="宋体"/>
          <w:sz w:val="18"/>
          <w:szCs w:val="18"/>
        </w:rPr>
        <w:t>投资者风险承受能力评级类型与适合购买的理财产品的对应关系为：</w:t>
      </w:r>
    </w:p>
    <w:tbl>
      <w:tblPr>
        <w:tblStyle w:val="7"/>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16"/>
        <w:gridCol w:w="4814"/>
        <w:gridCol w:w="285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安逸型（R1）</w:t>
            </w: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本金风险低，产品投资目标不能实现的概率较低；或投资范围仅限于货币市场工具等风险极低的短期金融资产。</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安逸型（C1）及以上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谨慎型（R2）</w:t>
            </w: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本金风险相对较小，收益浮动但相对较小。产品结构简单，过往业绩及净值的历史波动率低；投资标的流动性很好或为较高等级的信用主体；或者衍生品及杠杆交易对净值波动极小；估值政策清晰。</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谨慎型（C2）及以上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稳健型（R3）</w:t>
            </w: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产品有一定的本金风险，收益浮动且有一定波动。产品结构简单，过往业绩及净值的历史波动率较低；投资标的流动性好或为中等及以上的信用主体；或者投资衍生品以套期保值为目的，衍生品及杠杆交易对净值波动较小；估值政策清晰。</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稳健型（C3）及以上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增长型（R4）</w:t>
            </w: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产品本金风险较大。产品主要投资于流动性较好的投资标的，产品结构简单，但收益浮动且波动很大，过往业绩及净值的历史波动率较高；或者投资标的流动性较差或为中等以下的信用主体，但产品结构简单，且不投资于衍生品及杠杆交易；估值政策简单；或者投资衍生品以套期保值为目的，衍生品及杠杆交易对净值波动较大，估值政策较清晰。</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增长型（C4）及以上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进取型（R5）</w:t>
            </w: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产品本金风险很大，收益浮动且波动很大。产品结构较复杂，过往业绩及净值的历史波动率高；或者投资标的流动性较差或为低等级的信用主体，期限较长；或者投资衍生品以追求收益为目的，衍生品及杠杆交易对净值波动很大；估值政策较复杂。投资者要作出谨慎的产品选择，积极的关注相关风险。</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进取型（C5）及以上</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 xml:space="preserve"> </w:t>
      </w: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p>
    <w:p>
      <w:pPr>
        <w:autoSpaceDE w:val="0"/>
        <w:autoSpaceDN w:val="0"/>
        <w:adjustRightInd w:val="0"/>
        <w:spacing w:line="280" w:lineRule="atLeast"/>
        <w:jc w:val="left"/>
        <w:rPr>
          <w:rFonts w:ascii="仿宋_GB2312" w:eastAsia="仿宋_GB2312" w:cs="仿宋_GB2312"/>
          <w:color w:val="000000"/>
          <w:kern w:val="0"/>
          <w:sz w:val="24"/>
          <w:szCs w:val="24"/>
        </w:rPr>
      </w:pPr>
    </w:p>
    <w:p>
      <w:pPr>
        <w:widowControl/>
        <w:spacing w:line="280" w:lineRule="atLeast"/>
        <w:jc w:val="left"/>
        <w:rPr>
          <w:rFonts w:ascii="宋体" w:hAnsi="宋体"/>
          <w:b/>
          <w:sz w:val="28"/>
          <w:szCs w:val="28"/>
        </w:rPr>
      </w:pPr>
      <w:r>
        <w:rPr>
          <w:rFonts w:ascii="宋体" w:hAnsi="宋体"/>
          <w:b/>
          <w:sz w:val="28"/>
          <w:szCs w:val="28"/>
        </w:rPr>
        <w:br w:type="page"/>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兴银理财汇利稳健封闭式固收类理财产品</w:t>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jc w:val="center"/>
        <w:rPr>
          <w:rFonts w:hAnsi="宋体"/>
          <w:b/>
          <w:color w:val="auto"/>
          <w:sz w:val="28"/>
          <w:szCs w:val="28"/>
        </w:rPr>
      </w:pPr>
      <w:r>
        <w:rPr>
          <w:rFonts w:hint="eastAsia" w:hAnsi="宋体"/>
          <w:b/>
          <w:color w:val="auto"/>
          <w:sz w:val="28"/>
          <w:szCs w:val="28"/>
        </w:rPr>
        <w:t>（适用于机构投资者：金融</w:t>
      </w:r>
      <w:r>
        <w:rPr>
          <w:rFonts w:hAnsi="宋体"/>
          <w:b/>
          <w:color w:val="auto"/>
          <w:sz w:val="28"/>
          <w:szCs w:val="28"/>
        </w:rPr>
        <w:t>同业客户</w:t>
      </w:r>
      <w:r>
        <w:rPr>
          <w:rFonts w:hint="eastAsia" w:hAnsi="宋体"/>
          <w:b/>
          <w:color w:val="auto"/>
          <w:sz w:val="28"/>
          <w:szCs w:val="28"/>
        </w:rPr>
        <w:t>）</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w:t>
      </w:r>
      <w:r>
        <w:rPr>
          <w:rFonts w:hint="eastAsia" w:ascii="宋体" w:hAnsi="宋体"/>
          <w:sz w:val="18"/>
          <w:szCs w:val="18"/>
          <w:lang w:val="en-US" w:eastAsia="zh-CN"/>
        </w:rPr>
        <w:t xml:space="preserve">    </w:t>
      </w:r>
      <w:r>
        <w:rPr>
          <w:rFonts w:hint="eastAsia" w:ascii="宋体" w:hAnsi="宋体"/>
          <w:sz w:val="18"/>
          <w:szCs w:val="18"/>
        </w:rPr>
        <w:t>】以(□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1" w:firstLineChars="200"/>
        <w:rPr>
          <w:rFonts w:ascii="宋体" w:hAnsi="宋体"/>
          <w:b/>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0" w:firstLineChars="200"/>
        <w:rPr>
          <w:rFonts w:ascii="宋体" w:hAnsi="宋体"/>
          <w:sz w:val="18"/>
          <w:szCs w:val="18"/>
        </w:rPr>
      </w:pPr>
      <w:r>
        <w:rPr>
          <w:rFonts w:hint="eastAsia" w:ascii="宋体" w:hAnsi="宋体"/>
          <w:sz w:val="18"/>
          <w:szCs w:val="18"/>
        </w:rPr>
        <w:t>鉴于您为金融同业客户，销售机构暂不对您进行风险承受能力评估，请您根据您自身的</w:t>
      </w:r>
      <w:r>
        <w:rPr>
          <w:rFonts w:ascii="宋体" w:hAnsi="宋体"/>
          <w:sz w:val="18"/>
          <w:szCs w:val="18"/>
        </w:rPr>
        <w:t>风险承受能力购买</w:t>
      </w:r>
      <w:r>
        <w:rPr>
          <w:rFonts w:hint="eastAsia" w:ascii="宋体" w:hAnsi="宋体"/>
          <w:sz w:val="18"/>
          <w:szCs w:val="18"/>
        </w:rPr>
        <w:t>产品风险评级适合您的</w:t>
      </w:r>
      <w:r>
        <w:rPr>
          <w:rFonts w:ascii="宋体" w:hAnsi="宋体"/>
          <w:sz w:val="18"/>
          <w:szCs w:val="18"/>
        </w:rPr>
        <w:t>理财产品</w:t>
      </w:r>
      <w:r>
        <w:rPr>
          <w:rFonts w:hint="eastAsia" w:ascii="宋体" w:hAnsi="宋体"/>
          <w:sz w:val="18"/>
          <w:szCs w:val="18"/>
        </w:rPr>
        <w:t>。</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bCs/>
          <w:sz w:val="18"/>
          <w:szCs w:val="18"/>
        </w:rPr>
      </w:pPr>
      <w:r>
        <w:rPr>
          <w:rFonts w:hint="eastAsia" w:ascii="宋体" w:hAnsi="宋体"/>
          <w:b/>
          <w:bCs/>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
      <w:pPr>
        <w:spacing w:line="360" w:lineRule="auto"/>
        <w:jc w:val="left"/>
        <w:rPr>
          <w:rFonts w:hint="eastAsia" w:ascii="宋体" w:hAnsi="宋体"/>
          <w:b/>
          <w:sz w:val="18"/>
          <w:szCs w:val="18"/>
        </w:rPr>
      </w:pPr>
      <w:bookmarkStart w:id="222" w:name="_GoBack"/>
      <w:bookmarkEnd w:id="222"/>
    </w:p>
    <w:sectPr>
      <w:headerReference r:id="rId11" w:type="default"/>
      <w:footerReference r:id="rId12"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3"/>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5</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21</w:t>
    </w:r>
    <w:r>
      <w:rPr>
        <w:kern w:val="0"/>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4442659"/>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rPr>
    </w:pPr>
    <w:r>
      <w:rPr>
        <w:rFonts w:hint="eastAsia"/>
        <w:b/>
      </w:rPr>
      <w:t>投资协议书</w:t>
    </w:r>
  </w:p>
  <w:p>
    <w:pPr>
      <w:pStyle w:val="4"/>
      <w:jc w:val="right"/>
      <w:rPr>
        <w:b/>
      </w:rPr>
    </w:pPr>
    <w:r>
      <w:rPr>
        <w:rFonts w:hint="eastAsia"/>
        <w:b/>
      </w:rPr>
      <w:t>注：本文件由兴银理财有限责任公司统一编制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4"/>
      <w:jc w:val="right"/>
      <w:rPr>
        <w:rFonts w:ascii="Times New Roman" w:hAnsi="Times New Roman"/>
        <w:b/>
      </w:rPr>
    </w:pPr>
    <w:r>
      <w:rPr>
        <w:rFonts w:hint="eastAsia" w:ascii="Times New Roman" w:hAnsi="Times New Roman"/>
        <w:b/>
      </w:rPr>
      <w:t>注：本文件由兴银理财有限责任公司统一编制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4"/>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投资者权益须知</w:t>
    </w:r>
  </w:p>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CF7F6B"/>
    <w:rsid w:val="2F360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paragraph" w:styleId="5">
    <w:name w:val="toc 1"/>
    <w:basedOn w:val="1"/>
    <w:next w:val="1"/>
    <w:qFormat/>
    <w:uiPriority w:val="39"/>
    <w:pPr>
      <w:tabs>
        <w:tab w:val="right" w:leader="dot" w:pos="8296"/>
      </w:tabs>
      <w:spacing w:line="360" w:lineRule="auto"/>
    </w:p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styleId="12">
    <w:name w:val="List Paragraph"/>
    <w:basedOn w:val="1"/>
    <w:qFormat/>
    <w:uiPriority w:val="0"/>
    <w:pPr>
      <w:ind w:firstLine="420" w:firstLineChars="200"/>
    </w:pPr>
  </w:style>
  <w:style w:type="paragraph" w:customStyle="1" w:styleId="1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2024-07-23T07:36:17Z</dcterms:created>
  <dc:creator>cib</dc:creator>
  <cp:lastModifiedBy>Administrator</cp:lastModifiedBy>
  <dcterms:modified xsi:type="dcterms:W3CDTF">2024-07-23T07:38:28Z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