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I6GK79TQ05HGRGR8DL0R7NMMOSVR9X0XHJDWXF88TQ5T6DBJIC0HFSUHPC8RBFM65OZMZIX78HNJQEFAPFFZ8RFMWLCBAFOOIHB3BD1406A425AAF41F86F6FDB7ADDD10BC" Type="http://schemas.microsoft.com/office/2006/relationships/officeDocumentMain" Target="docProps/core.xml"/><Relationship Id="CGWMR6GH79TA06TGQKR8MLJZ7N80OYYR9S0XLJDWXGI8TEWTZ8BR6C0IFYRTPCRRBFMXHOLSZIX78IJJRJFA0FFU8RZ0WLCBANOORHB3A3B726865C7E184BE6F6567654EB6CA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南银理财珠联璧合鑫悦享周周盈公募人民币理财产品（Z42003）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南银理财鑫悦享周周盈-D份额（产品登记编码Z7003220000001，内部销售代码Z42003）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2023年08月29日，于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2024年11月12日至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2024-11-19至2024-11-25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1.0943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2024-11-12至2024-11-18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2024-11-05至2024-11-11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2024-10-29至2024-11-04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SVWFI6GK79TQ05HGRGR8DL0R7NMMOSVR9X0XHJDWXF88TQ5T6DBJIC0HFSUHPC8RBFM65OZMZIX78HNJQEFAPFFZ8RFMWLCBAFOOIHB3BD1406A425AAF41F86F6FDB7ADDD10BC</vt:lpwstr>
  </property>
  <property fmtid="{D5CDD505-2E9C-101B-9397-08002B2CF9AE}" pid="5" name="_KSOProductBuildSID">
    <vt:lpwstr>CGWMR6GH79TA06TGQKR8MLJZ7N80OYYR9S0XLJDWXGI8TEWTZ8BR6C0IFYRTPCRRBFMXHOLSZIX78IJJRJFA0FFU8RZ0WLCBANOORHB3A3B726865C7E184BE6F6567654EB6CA7</vt:lpwstr>
  </property>
</Properties>
</file>