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PWMP6GJ79TA06TGRKR8ZL0Y7NM0OXVREJ0XWJDWXFBRTDLT6IBRVC0QFYRHPFIRXEMXJOLYZI7D8LNJQSFT6F8H89D0WI5BAEODYHB301E3CEC9BD450F3439BC1BF855B8F1EA" Type="http://schemas.microsoft.com/office/2006/relationships/officeDocumentMain" Target="docProps/core.xml"/><Relationship Id="SKWFD6GK79TA0T9GQKR8MLJ87ZCMOSGR9U0XWJDWXGHRTQCT6DBRVCJVFYSTPD6RXSMXCOLKZIW78MEJQUFAPF8P89C0WILBAEODRHB3D3222ED1ADFC97447C2E617DAFC9EC5C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南银理财珠联璧合鑫逸稳两年104期封闭式公募人民币理财产品发行公告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南银理财珠联璧合鑫逸稳两年104期封闭式公募人民币理财产品（产品登记编码：Z7003225000005）已于2025年01月21日结束募集，符合产品成立条件，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于2025年01月22日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成立。该产品募集金额100,076,873.00元，理财资金将按产品说明书约定进行投资。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2025年01月23日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SPWMP6GJ79TA06TGRKR8ZL0Y7NM0OXVREJ0XWJDWXFBRTDLT6IBRVC0QFYRHPFIRXEMXJOLYZI7D8LNJQSFT6F8H89D0WI5BAEODYHB301E3CEC9BD450F3439BC1BF855B8F1EA</vt:lpwstr>
  </property>
  <property fmtid="{D5CDD505-2E9C-101B-9397-08002B2CF9AE}" pid="5" name="_KSOProductBuildSID">
    <vt:lpwstr>SKWFD6GK79TA0T9GQKR8MLJ87ZCMOSGR9U0XWJDWXGHRTQCT6DBRVCJVFYSTPD6RXSMXCOLKZIW78MEJQUFAPF8P89C0WILBAEODRHB3D3222ED1ADFC97447C2E617DAFC9EC5C</vt:lpwstr>
  </property>
</Properties>
</file>