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M86GQ79UA0THGRYR8PLJZ7ZD0OSGR9U0XOJDWXFM8TGLTZRBR6CJFFY5TPDIRXJMXOOL0ZI678MEJEFFAPFFA89D0WIWB8JOOYHB3E34986D060A30F306C7E13FD722A77B8" Type="http://schemas.microsoft.com/office/2006/relationships/officeDocumentMain" Target="docProps/core.xml"/><Relationship Id="CAWFI6GC79UA06HGRYR8KL0Y7NLMOXPREJ0XNJDWXF8RTE5TNRBR6CJXFYRTPD6RBXM65OL9ZI778LXJRNFAYFFZ8RF0WIWB8UODQHB36416A2DC0B300BCF0D3422CD4D4E24E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南银理财珠联璧合鑫逸稳一年204期封闭式公募人民币理财产品发行公告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南银理财珠联璧合鑫逸稳一年204期封闭式公募人民币理财产品（产品登记编码：Z7003225000035）已于2025年02月18日结束募集，符合产品成立条件，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于2025年02月19日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成立。该产品募集金额2,587,269,479.00元，理财资金将按产品说明书约定进行投资。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2025年02月20日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DPWM86GQ79UA0THGRYR8PLJZ7ZD0OSGR9U0XOJDWXFM8TGLTZRBR6CJFFY5TPDIRXJMXOOL0ZI678MEJEFFAPFFA89D0WIWB8JOOYHB3E34986D060A30F306C7E13FD722A77B8</vt:lpwstr>
  </property>
  <property fmtid="{D5CDD505-2E9C-101B-9397-08002B2CF9AE}" pid="5" name="_KSOProductBuildSID">
    <vt:lpwstr>CAWFI6GC79UA06HGRYR8KL0Y7NLMOXPREJ0XNJDWXF8RTE5TNRBR6CJXFYRTPD6RBXM65OL9ZI778LXJRNFAYFFZ8RF0WIWB8UODQHB36416A2DC0B300BCF0D3422CD4D4E24E9</vt:lpwstr>
  </property>
</Properties>
</file>