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CZWFY6GD7RYQ00TGQKRNRLJF7ZC0OYVREX06WJDWXGHRTGCTNRBRVC0HFYSHP88RAXMX5OZFZIXD8MXJQXFARFFV89Q0WHCB8FOOIHB317AEC75DE03A6E7750C0F09BB7E6157B" Type="http://schemas.microsoft.com/office/2006/relationships/officeDocumentMain" Target="docProps/core.xml"/><Relationship Id="CYWMR6GP79VQ00BG9ZRNDL0K7ZEMOAGREF0XOJDWXGH8TEWT68BR6CJAFY9TPDIRXNMXCOL0ZH5D8HJJRSFAQFFT89C0WILBBSOODHB30AD4C1E86A29FC297A106401656D8363" Type="http://schemas.microsoft.com/office/2006/relationships/officeDocumentExtended"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694" w:rsidRDefault="005E592C">
      <w:pPr>
        <w:spacing w:line="0" w:lineRule="atLeast"/>
        <w:jc w:val="center"/>
        <w:rPr>
          <w:b/>
          <w:bCs/>
          <w:kern w:val="0"/>
          <w:sz w:val="24"/>
          <w:szCs w:val="24"/>
        </w:rPr>
      </w:pPr>
      <w:r>
        <w:rPr>
          <w:rFonts w:hint="eastAsia"/>
          <w:b/>
          <w:bCs/>
          <w:kern w:val="0"/>
          <w:sz w:val="24"/>
          <w:szCs w:val="24"/>
        </w:rPr>
        <w:t>理财产品风险揭示书</w:t>
      </w:r>
    </w:p>
    <w:p w:rsidR="009F1694" w:rsidRDefault="005E592C">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F1694" w:rsidRDefault="005E592C">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全部或部分损失，在您选择购买本理财产品前，您应仔细阅读对应期次的《理财产品风险揭示书》《理财产品说明书》《投资者权益须知》《理财产品销售协议书》和《理财产品投资协议书》（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），了解本理财产品信息及详细条款。</w:t>
      </w:r>
    </w:p>
    <w:p w:rsidR="009F1694" w:rsidRDefault="005E592C">
      <w:pPr>
        <w:widowControl/>
        <w:spacing w:line="200" w:lineRule="exact"/>
        <w:ind w:firstLineChars="200" w:firstLine="261"/>
        <w:rPr>
          <w:b/>
          <w:color w:val="3D3D3D"/>
          <w:kern w:val="0"/>
          <w:sz w:val="13"/>
          <w:szCs w:val="13"/>
        </w:rPr>
      </w:pPr>
      <w:r>
        <w:rPr>
          <w:rFonts w:hint="eastAsia"/>
          <w:b/>
          <w:color w:val="3D3D3D"/>
          <w:kern w:val="0"/>
          <w:sz w:val="13"/>
          <w:szCs w:val="13"/>
        </w:rPr>
        <w:t>重要提示：南银理财有限责任公司（以下简称为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9F1694" w:rsidRDefault="005E592C">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9F1694" w:rsidRDefault="005E592C">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理财产品投资商品及金融衍生品类产品可能面临衍生品公允价值变化风险等。</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物等不能变现或不能及时、足额变现或抵质押物的变现价值不足以覆盖该部分投资资产本金及投资收益，则可能影响投资者收益，发生本理财产品净值下跌甚至本金损失的情况。</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9F1694" w:rsidRDefault="005E592C">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9F1694" w:rsidRDefault="005E592C">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9F1694" w:rsidRDefault="005E592C">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（十六）代销风险：本理财产品通过代销机构销售时，认购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9F1694" w:rsidRDefault="005E592C">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9F1694" w:rsidRDefault="005E592C">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9F1694" w:rsidRDefault="005E592C">
      <w:pPr>
        <w:pStyle w:val="Normald8280a79"/>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9F1694" w:rsidRDefault="005E592C">
      <w:pPr>
        <w:spacing w:line="200" w:lineRule="exact"/>
      </w:pPr>
      <w:r>
        <w:rPr>
          <w:rFonts w:cs="宋体"/>
          <w:b/>
          <w:sz w:val="13"/>
          <w:szCs w:val="20"/>
        </w:rPr>
        <w:t xml:space="preserve">    1.债券类资产投资风险</w:t>
      </w:r>
    </w:p>
    <w:p w:rsidR="009F1694" w:rsidRDefault="005E592C">
      <w:pPr>
        <w:spacing w:line="200" w:lineRule="exact"/>
      </w:pPr>
      <w:r>
        <w:rPr>
          <w:rFonts w:cs="宋体"/>
          <w:b/>
          <w:sz w:val="13"/>
          <w:szCs w:val="20"/>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9F1694" w:rsidRDefault="005E592C">
      <w:pPr>
        <w:spacing w:line="200" w:lineRule="exact"/>
      </w:pPr>
      <w:r>
        <w:rPr>
          <w:rFonts w:cs="宋体"/>
          <w:b/>
          <w:sz w:val="13"/>
          <w:szCs w:val="20"/>
        </w:rPr>
        <w:t xml:space="preserve">    2.非标准化债权类资产投资风险</w:t>
      </w:r>
    </w:p>
    <w:p w:rsidR="009F1694" w:rsidRDefault="005E592C">
      <w:pPr>
        <w:spacing w:line="200" w:lineRule="exact"/>
      </w:pPr>
      <w:r>
        <w:rPr>
          <w:rFonts w:cs="宋体"/>
          <w:b/>
          <w:sz w:val="13"/>
          <w:szCs w:val="20"/>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9F1694" w:rsidRDefault="005E592C">
      <w:pPr>
        <w:spacing w:line="200" w:lineRule="exact"/>
      </w:pPr>
      <w:r>
        <w:rPr>
          <w:rFonts w:cs="宋体"/>
          <w:b/>
          <w:sz w:val="13"/>
          <w:szCs w:val="20"/>
        </w:rPr>
        <w:lastRenderedPageBreak/>
        <w:t xml:space="preserve">    3.资产管理产品投资风险</w:t>
      </w:r>
    </w:p>
    <w:p w:rsidR="009F1694" w:rsidRDefault="005E592C">
      <w:pPr>
        <w:spacing w:line="200" w:lineRule="exact"/>
      </w:pPr>
      <w:r>
        <w:rPr>
          <w:rFonts w:cs="宋体"/>
          <w:b/>
          <w:sz w:val="13"/>
          <w:szCs w:val="20"/>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9F1694" w:rsidRDefault="005E592C">
      <w:pPr>
        <w:spacing w:line="200" w:lineRule="exact"/>
      </w:pPr>
      <w:r>
        <w:rPr>
          <w:rFonts w:cs="宋体"/>
          <w:b/>
          <w:sz w:val="13"/>
          <w:szCs w:val="20"/>
        </w:rPr>
        <w:t xml:space="preserve">    4.非标准化债权类资产无法投资的风险</w:t>
      </w:r>
    </w:p>
    <w:p w:rsidR="009F1694" w:rsidRDefault="005E592C">
      <w:pPr>
        <w:spacing w:line="200" w:lineRule="exact"/>
      </w:pPr>
      <w:r>
        <w:rPr>
          <w:rFonts w:cs="宋体"/>
          <w:b/>
          <w:sz w:val="13"/>
          <w:szCs w:val="20"/>
        </w:rPr>
        <w:t xml:space="preserve">    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或改变资产的发行时间、资产收益等要素）导致本理财产品无法投资对应资产时，为最大程度保障投资者权益，管理人有权采取如下措施：</w:t>
      </w:r>
      <w:r>
        <w:br/>
      </w:r>
      <w:r>
        <w:rPr>
          <w:rFonts w:cs="宋体"/>
          <w:b/>
          <w:sz w:val="13"/>
          <w:szCs w:val="20"/>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（2）若本理财产品已成立，则管理人有权提前终止本理财产品，自产品成立至提前终止日期间不计任何收益。</w:t>
      </w:r>
    </w:p>
    <w:p w:rsidR="009F1694" w:rsidRDefault="005E592C">
      <w:pPr>
        <w:pStyle w:val="Normald8280a79"/>
        <w:widowControl/>
        <w:spacing w:line="200" w:lineRule="exact"/>
        <w:ind w:firstLine="260"/>
        <w:rPr>
          <w:b/>
          <w:bCs/>
          <w:color w:val="3D3D3D"/>
          <w:kern w:val="0"/>
          <w:sz w:val="13"/>
          <w:szCs w:val="13"/>
        </w:rPr>
      </w:pPr>
      <w:r>
        <w:rPr>
          <w:rFonts w:hint="eastAsia"/>
          <w:b/>
          <w:bCs/>
          <w:color w:val="3D3D3D"/>
          <w:kern w:val="0"/>
          <w:sz w:val="13"/>
          <w:szCs w:val="13"/>
        </w:rPr>
        <w:t>本理财产品类型：封闭式、固定收益类、公募、净值型。</w:t>
      </w:r>
    </w:p>
    <w:p w:rsidR="009F1694" w:rsidRDefault="005E592C">
      <w:pPr>
        <w:pStyle w:val="Normald8280a79"/>
        <w:widowControl/>
        <w:spacing w:line="200" w:lineRule="exact"/>
        <w:ind w:firstLine="270"/>
        <w:rPr>
          <w:b/>
          <w:bCs/>
          <w:color w:val="3D3D3D"/>
          <w:kern w:val="0"/>
          <w:sz w:val="13"/>
          <w:szCs w:val="13"/>
        </w:rPr>
      </w:pPr>
      <w:r>
        <w:rPr>
          <w:rFonts w:hint="eastAsia"/>
          <w:b/>
          <w:color w:val="3D3D3D"/>
          <w:kern w:val="0"/>
          <w:sz w:val="13"/>
          <w:szCs w:val="13"/>
        </w:rPr>
        <w:t>本理财产品期限为</w:t>
      </w:r>
      <w:r>
        <w:rPr>
          <w:rFonts w:hint="eastAsia"/>
          <w:b/>
          <w:bCs/>
          <w:color w:val="3D3D3D"/>
          <w:kern w:val="0"/>
          <w:sz w:val="13"/>
          <w:szCs w:val="13"/>
        </w:rPr>
        <w:t>197天</w:t>
      </w:r>
      <w:r>
        <w:rPr>
          <w:rFonts w:hint="eastAsia"/>
          <w:b/>
          <w:color w:val="3D3D3D"/>
          <w:kern w:val="0"/>
          <w:sz w:val="13"/>
          <w:szCs w:val="13"/>
        </w:rPr>
        <w:t>。</w:t>
      </w:r>
    </w:p>
    <w:p w:rsidR="009F1694" w:rsidRDefault="005E592C">
      <w:pPr>
        <w:pStyle w:val="annotationtext23"/>
        <w:spacing w:line="200" w:lineRule="exact"/>
        <w:rPr>
          <w:color w:val="3D3D3D"/>
          <w:kern w:val="0"/>
          <w:sz w:val="13"/>
          <w:szCs w:val="13"/>
        </w:rPr>
      </w:pPr>
      <w:r>
        <w:rPr>
          <w:rFonts w:hint="eastAsia"/>
          <w:b/>
          <w:bCs/>
          <w:color w:val="3D3D3D"/>
          <w:kern w:val="0"/>
          <w:sz w:val="13"/>
          <w:szCs w:val="13"/>
        </w:rPr>
        <w:t>本理财产品风险评级结果：</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p>
    <w:p w:rsidR="009F1694" w:rsidRDefault="005E592C">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9F1694" w:rsidRDefault="005E592C">
      <w:pPr>
        <w:pStyle w:val="Normald8280a79"/>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color w:val="3D3D3D"/>
          <w:kern w:val="0"/>
          <w:sz w:val="13"/>
          <w:szCs w:val="13"/>
        </w:rPr>
        <w:t>符合相关法律法规、监管规定要求的，经销售机构的风险承受能力评估体系评定为适合的个人和机构投资者。</w:t>
      </w:r>
    </w:p>
    <w:p w:rsidR="009F1694" w:rsidRDefault="005E592C">
      <w:pPr>
        <w:pStyle w:val="Normald8280a79"/>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承受能力的因素发生变化，请及时完成风险承受能力评估。</w:t>
      </w:r>
    </w:p>
    <w:p w:rsidR="009F1694" w:rsidRDefault="005E592C">
      <w:pPr>
        <w:pStyle w:val="Normald8280a79"/>
        <w:widowControl/>
        <w:spacing w:line="200" w:lineRule="exact"/>
        <w:ind w:firstLine="260"/>
      </w:pPr>
      <w:r>
        <w:rPr>
          <w:rFonts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9F1694" w:rsidRDefault="005E592C">
      <w:pPr>
        <w:pStyle w:val="Normald8280a79"/>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9F1694" w:rsidRDefault="009F1694">
      <w:pPr>
        <w:pStyle w:val="Normald8280a79"/>
        <w:widowControl/>
        <w:spacing w:line="200" w:lineRule="exact"/>
        <w:ind w:firstLine="260"/>
        <w:rPr>
          <w:b/>
          <w:color w:val="3D3D3D"/>
          <w:kern w:val="0"/>
          <w:sz w:val="13"/>
          <w:szCs w:val="13"/>
        </w:rPr>
      </w:pPr>
    </w:p>
    <w:p w:rsidR="009F1694" w:rsidRDefault="005E592C">
      <w:pPr>
        <w:pStyle w:val="Normald8280a79"/>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9F1694" w:rsidRDefault="009F1694">
      <w:pPr>
        <w:pStyle w:val="Normald8280a79"/>
        <w:widowControl/>
        <w:spacing w:line="200" w:lineRule="exact"/>
        <w:ind w:firstLine="260"/>
        <w:jc w:val="center"/>
        <w:rPr>
          <w:b/>
          <w:color w:val="3D3D3D"/>
          <w:kern w:val="0"/>
          <w:sz w:val="15"/>
          <w:szCs w:val="15"/>
          <w:u w:val="single"/>
        </w:rPr>
      </w:pPr>
    </w:p>
    <w:p w:rsidR="009F1694" w:rsidRDefault="005E592C">
      <w:pPr>
        <w:pStyle w:val="Normald8280a79"/>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9F1694" w:rsidRDefault="005E592C">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rsidR="009F1694" w:rsidRDefault="005E592C">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如销售机构为管理人关联方的，本投资者认可此等关联方及关联交易情形的存在并自愿承担相关投资风险。</w:t>
      </w:r>
    </w:p>
    <w:p w:rsidR="009F1694" w:rsidRDefault="005E592C">
      <w:pPr>
        <w:widowControl/>
        <w:spacing w:line="200" w:lineRule="exact"/>
        <w:ind w:firstLine="420"/>
        <w:rPr>
          <w:color w:val="3D3D3D"/>
          <w:kern w:val="0"/>
          <w:sz w:val="15"/>
          <w:szCs w:val="15"/>
          <w:u w:val="single"/>
        </w:rPr>
      </w:pPr>
      <w:r>
        <w:rPr>
          <w:rFonts w:hint="eastAsia"/>
          <w:color w:val="3D3D3D"/>
          <w:kern w:val="0"/>
          <w:sz w:val="15"/>
          <w:szCs w:val="15"/>
        </w:rPr>
        <w:t>8.以下划线部分，请投资者抄录确认：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9F1694" w:rsidRDefault="005E592C">
      <w:pPr>
        <w:widowControl/>
        <w:spacing w:line="200" w:lineRule="exact"/>
        <w:ind w:firstLine="210"/>
        <w:rPr>
          <w:color w:val="3D3D3D"/>
          <w:kern w:val="0"/>
          <w:sz w:val="15"/>
          <w:szCs w:val="15"/>
        </w:rPr>
      </w:pPr>
      <w:r>
        <w:rPr>
          <w:rFonts w:hint="eastAsia"/>
          <w:color w:val="3D3D3D"/>
          <w:kern w:val="0"/>
          <w:sz w:val="15"/>
          <w:szCs w:val="15"/>
        </w:rPr>
        <w:t xml:space="preserve">         </w:t>
      </w:r>
    </w:p>
    <w:p w:rsidR="009F1694" w:rsidRDefault="009F1694">
      <w:pPr>
        <w:widowControl/>
        <w:spacing w:line="200" w:lineRule="exact"/>
        <w:ind w:firstLine="210"/>
        <w:rPr>
          <w:color w:val="3D3D3D"/>
          <w:kern w:val="0"/>
          <w:sz w:val="15"/>
          <w:szCs w:val="15"/>
        </w:rPr>
      </w:pPr>
    </w:p>
    <w:p w:rsidR="009F1694" w:rsidRDefault="005E592C">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9F1694" w:rsidRDefault="009F1694">
      <w:pPr>
        <w:widowControl/>
        <w:spacing w:line="200" w:lineRule="exact"/>
        <w:ind w:firstLine="210"/>
        <w:rPr>
          <w:color w:val="3D3D3D"/>
          <w:kern w:val="0"/>
          <w:sz w:val="13"/>
          <w:szCs w:val="13"/>
        </w:rPr>
      </w:pPr>
    </w:p>
    <w:p w:rsidR="009F1694" w:rsidRDefault="009F1694">
      <w:pPr>
        <w:widowControl/>
        <w:spacing w:line="200" w:lineRule="exact"/>
        <w:ind w:firstLine="210"/>
        <w:jc w:val="left"/>
        <w:rPr>
          <w:color w:val="3D3D3D"/>
          <w:kern w:val="0"/>
          <w:sz w:val="13"/>
          <w:szCs w:val="13"/>
        </w:rPr>
      </w:pPr>
    </w:p>
    <w:p w:rsidR="009F1694" w:rsidRDefault="009F1694">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9F1694">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400" w:lineRule="exact"/>
              <w:jc w:val="center"/>
              <w:rPr>
                <w:b/>
                <w:sz w:val="15"/>
                <w:szCs w:val="15"/>
              </w:rPr>
            </w:pPr>
            <w:r>
              <w:rPr>
                <w:rFonts w:hint="eastAsia"/>
                <w:b/>
                <w:sz w:val="15"/>
                <w:szCs w:val="15"/>
              </w:rPr>
              <w:t>个人投资者</w:t>
            </w:r>
          </w:p>
        </w:tc>
      </w:tr>
      <w:tr w:rsidR="009F1694">
        <w:tc>
          <w:tcPr>
            <w:tcW w:w="9287" w:type="dxa"/>
            <w:tcBorders>
              <w:top w:val="single" w:sz="4" w:space="0" w:color="auto"/>
              <w:left w:val="single" w:sz="4" w:space="0" w:color="auto"/>
              <w:bottom w:val="single" w:sz="4" w:space="0" w:color="auto"/>
              <w:right w:val="single" w:sz="4" w:space="0" w:color="auto"/>
              <w:tl2br w:val="nil"/>
              <w:tr2bl w:val="nil"/>
            </w:tcBorders>
          </w:tcPr>
          <w:p w:rsidR="009F1694" w:rsidRDefault="005E592C">
            <w:pPr>
              <w:widowControl/>
              <w:spacing w:line="360" w:lineRule="auto"/>
              <w:rPr>
                <w:color w:val="3D3D3D"/>
                <w:kern w:val="0"/>
                <w:sz w:val="13"/>
                <w:szCs w:val="13"/>
              </w:rPr>
            </w:pPr>
            <w:r>
              <w:rPr>
                <w:rFonts w:hint="eastAsia"/>
                <w:sz w:val="15"/>
                <w:szCs w:val="15"/>
              </w:rPr>
              <w:t>签名：</w:t>
            </w:r>
          </w:p>
          <w:p w:rsidR="009F1694" w:rsidRDefault="005E592C">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F1694">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400" w:lineRule="exact"/>
              <w:jc w:val="center"/>
              <w:rPr>
                <w:sz w:val="15"/>
                <w:szCs w:val="15"/>
              </w:rPr>
            </w:pPr>
            <w:r>
              <w:rPr>
                <w:rFonts w:hint="eastAsia"/>
                <w:b/>
                <w:bCs/>
                <w:color w:val="3D3D3D"/>
                <w:kern w:val="0"/>
                <w:sz w:val="15"/>
                <w:szCs w:val="15"/>
              </w:rPr>
              <w:t>机构投资者</w:t>
            </w:r>
          </w:p>
        </w:tc>
      </w:tr>
      <w:tr w:rsidR="009F1694">
        <w:tc>
          <w:tcPr>
            <w:tcW w:w="9287" w:type="dxa"/>
            <w:tcBorders>
              <w:top w:val="single" w:sz="4" w:space="0" w:color="auto"/>
              <w:left w:val="single" w:sz="4" w:space="0" w:color="auto"/>
              <w:bottom w:val="single" w:sz="4" w:space="0" w:color="auto"/>
              <w:right w:val="single" w:sz="4" w:space="0" w:color="auto"/>
              <w:tl2br w:val="nil"/>
              <w:tr2bl w:val="nil"/>
            </w:tcBorders>
          </w:tcPr>
          <w:p w:rsidR="009F1694" w:rsidRDefault="009F1694">
            <w:pPr>
              <w:widowControl/>
              <w:spacing w:line="200" w:lineRule="exact"/>
              <w:jc w:val="left"/>
              <w:rPr>
                <w:b/>
                <w:bCs/>
                <w:color w:val="3D3D3D"/>
                <w:kern w:val="0"/>
                <w:sz w:val="15"/>
                <w:szCs w:val="15"/>
              </w:rPr>
            </w:pPr>
          </w:p>
          <w:p w:rsidR="009F1694" w:rsidRDefault="005E592C">
            <w:pPr>
              <w:widowControl/>
              <w:spacing w:line="200" w:lineRule="exact"/>
              <w:jc w:val="left"/>
              <w:rPr>
                <w:b/>
                <w:bCs/>
                <w:color w:val="3D3D3D"/>
                <w:kern w:val="0"/>
                <w:sz w:val="15"/>
                <w:szCs w:val="15"/>
              </w:rPr>
            </w:pPr>
            <w:r>
              <w:rPr>
                <w:rFonts w:hint="eastAsia"/>
                <w:b/>
                <w:bCs/>
                <w:color w:val="3D3D3D"/>
                <w:kern w:val="0"/>
                <w:sz w:val="15"/>
                <w:szCs w:val="15"/>
              </w:rPr>
              <w:t>盖章（公章）</w:t>
            </w:r>
          </w:p>
          <w:p w:rsidR="009F1694" w:rsidRDefault="009F1694">
            <w:pPr>
              <w:widowControl/>
              <w:spacing w:line="200" w:lineRule="exact"/>
              <w:jc w:val="left"/>
              <w:rPr>
                <w:b/>
                <w:bCs/>
                <w:color w:val="3D3D3D"/>
                <w:kern w:val="0"/>
                <w:sz w:val="15"/>
                <w:szCs w:val="15"/>
              </w:rPr>
            </w:pPr>
          </w:p>
          <w:p w:rsidR="009F1694" w:rsidRDefault="005E592C">
            <w:pPr>
              <w:widowControl/>
              <w:spacing w:line="200" w:lineRule="exact"/>
              <w:jc w:val="left"/>
              <w:rPr>
                <w:b/>
                <w:bCs/>
                <w:color w:val="3D3D3D"/>
                <w:kern w:val="0"/>
                <w:sz w:val="15"/>
                <w:szCs w:val="15"/>
              </w:rPr>
            </w:pPr>
            <w:r>
              <w:rPr>
                <w:rFonts w:hint="eastAsia"/>
                <w:b/>
                <w:bCs/>
                <w:color w:val="3D3D3D"/>
                <w:kern w:val="0"/>
                <w:sz w:val="15"/>
                <w:szCs w:val="15"/>
              </w:rPr>
              <w:t>法定代表人或授权代理人（签名或盖章）：</w:t>
            </w:r>
            <w:r>
              <w:rPr>
                <w:b/>
                <w:bCs/>
                <w:color w:val="3D3D3D"/>
                <w:kern w:val="0"/>
                <w:sz w:val="15"/>
                <w:szCs w:val="15"/>
              </w:rPr>
              <w:t xml:space="preserve"> </w:t>
            </w:r>
            <w:r>
              <w:rPr>
                <w:b/>
                <w:bCs/>
                <w:color w:val="3D3D3D"/>
                <w:kern w:val="0"/>
                <w:sz w:val="15"/>
                <w:szCs w:val="15"/>
              </w:rPr>
              <w:tab/>
            </w:r>
          </w:p>
          <w:p w:rsidR="009F1694" w:rsidRDefault="009F1694">
            <w:pPr>
              <w:widowControl/>
              <w:spacing w:line="200" w:lineRule="exact"/>
              <w:jc w:val="left"/>
              <w:rPr>
                <w:color w:val="3D3D3D"/>
                <w:kern w:val="0"/>
                <w:sz w:val="13"/>
                <w:szCs w:val="13"/>
              </w:rPr>
            </w:pPr>
          </w:p>
          <w:p w:rsidR="009F1694" w:rsidRDefault="005E592C">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9F1694">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400" w:lineRule="exact"/>
              <w:jc w:val="center"/>
              <w:rPr>
                <w:sz w:val="15"/>
                <w:szCs w:val="15"/>
              </w:rPr>
            </w:pPr>
            <w:r>
              <w:rPr>
                <w:rFonts w:hint="eastAsia"/>
                <w:b/>
                <w:bCs/>
                <w:sz w:val="15"/>
                <w:szCs w:val="15"/>
              </w:rPr>
              <w:t>电子渠道</w:t>
            </w:r>
          </w:p>
        </w:tc>
      </w:tr>
      <w:tr w:rsidR="009F1694">
        <w:tc>
          <w:tcPr>
            <w:tcW w:w="9287" w:type="dxa"/>
            <w:tcBorders>
              <w:top w:val="single" w:sz="4" w:space="0" w:color="auto"/>
              <w:left w:val="single" w:sz="4" w:space="0" w:color="auto"/>
              <w:bottom w:val="single" w:sz="4" w:space="0" w:color="auto"/>
              <w:right w:val="single" w:sz="4" w:space="0" w:color="auto"/>
              <w:tl2br w:val="nil"/>
              <w:tr2bl w:val="nil"/>
            </w:tcBorders>
          </w:tcPr>
          <w:p w:rsidR="009F1694" w:rsidRDefault="005E592C">
            <w:pPr>
              <w:widowControl/>
              <w:spacing w:line="200" w:lineRule="exact"/>
              <w:ind w:firstLineChars="200" w:firstLine="301"/>
              <w:rPr>
                <w:sz w:val="15"/>
                <w:szCs w:val="15"/>
              </w:rPr>
            </w:pPr>
            <w:r>
              <w:rPr>
                <w:rFonts w:hint="eastAsia"/>
                <w:b/>
                <w:color w:val="3D3D3D"/>
                <w:kern w:val="0"/>
                <w:sz w:val="15"/>
                <w:szCs w:val="15"/>
                <w:u w:val="single"/>
              </w:rPr>
              <w:t>如投资者通过电子渠道（包括但不限于网上银行、手机银行或官方网站等）购买本理财产品的，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9F1694" w:rsidRDefault="005E592C" w:rsidP="00987001">
      <w:pPr>
        <w:jc w:val="center"/>
        <w:rPr>
          <w:b/>
          <w:bCs/>
          <w:kern w:val="0"/>
          <w:sz w:val="24"/>
          <w:szCs w:val="24"/>
        </w:rPr>
      </w:pPr>
      <w:r>
        <w:br w:type="page"/>
      </w:r>
      <w:r>
        <w:rPr>
          <w:rFonts w:hint="eastAsia"/>
          <w:b/>
          <w:bCs/>
          <w:kern w:val="0"/>
          <w:sz w:val="24"/>
          <w:szCs w:val="24"/>
        </w:rPr>
        <w:lastRenderedPageBreak/>
        <w:t>理财产品说明书</w:t>
      </w:r>
    </w:p>
    <w:p w:rsidR="009F1694" w:rsidRDefault="005E592C">
      <w:pPr>
        <w:pStyle w:val="Normal79ca7f08"/>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9F1694" w:rsidRDefault="005E592C">
      <w:pPr>
        <w:pStyle w:val="NormalWeb8ce569e7"/>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9F1694">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鑫逸稳半</w:t>
            </w:r>
            <w:proofErr w:type="gramEnd"/>
            <w:r>
              <w:rPr>
                <w:rFonts w:hint="eastAsia"/>
                <w:kern w:val="0"/>
                <w:sz w:val="18"/>
                <w:szCs w:val="18"/>
              </w:rPr>
              <w:t>年118期封闭式公募人民币理财产品</w:t>
            </w:r>
          </w:p>
        </w:tc>
      </w:tr>
      <w:tr w:rsidR="009F1694">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F1694" w:rsidRDefault="005E592C">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9F1694" w:rsidRDefault="005E592C">
            <w:pPr>
              <w:widowControl/>
              <w:spacing w:line="200" w:lineRule="exact"/>
              <w:jc w:val="left"/>
              <w:rPr>
                <w:kern w:val="0"/>
                <w:sz w:val="18"/>
                <w:szCs w:val="18"/>
              </w:rPr>
            </w:pPr>
            <w:r>
              <w:rPr>
                <w:rFonts w:hint="eastAsia"/>
                <w:kern w:val="0"/>
                <w:sz w:val="18"/>
                <w:szCs w:val="18"/>
              </w:rPr>
              <w:t>封闭式、固定收益类、公募、净值型</w:t>
            </w:r>
          </w:p>
        </w:tc>
      </w:tr>
      <w:tr w:rsidR="009F1694">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9F1694" w:rsidRDefault="005E592C">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9F1694" w:rsidRDefault="005E592C">
            <w:pPr>
              <w:widowControl/>
              <w:spacing w:line="200" w:lineRule="exact"/>
              <w:jc w:val="left"/>
              <w:rPr>
                <w:kern w:val="0"/>
                <w:sz w:val="18"/>
                <w:szCs w:val="18"/>
              </w:rPr>
            </w:pPr>
            <w:r>
              <w:rPr>
                <w:rFonts w:hint="eastAsia"/>
                <w:kern w:val="0"/>
                <w:sz w:val="18"/>
                <w:szCs w:val="18"/>
              </w:rPr>
              <w:t>公开募集</w:t>
            </w:r>
          </w:p>
        </w:tc>
      </w:tr>
      <w:tr w:rsidR="009F1694">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ZZ700322500056</w:t>
            </w:r>
          </w:p>
        </w:tc>
      </w:tr>
      <w:tr w:rsidR="009F1694">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cs="宋体" w:hint="eastAsia"/>
                <w:kern w:val="0"/>
                <w:sz w:val="18"/>
                <w:szCs w:val="18"/>
              </w:rPr>
              <w:t>Z7003225000072(投资者可依据该编码在中国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www.chinawealth.com.cn查询理财产品相关信息）</w:t>
            </w:r>
          </w:p>
        </w:tc>
      </w:tr>
      <w:tr w:rsidR="009F169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A份额：Y70118</w:t>
            </w:r>
          </w:p>
          <w:p w:rsidR="009F1694" w:rsidRDefault="005E592C">
            <w:pPr>
              <w:spacing w:line="200" w:lineRule="exact"/>
            </w:pPr>
            <w:r>
              <w:rPr>
                <w:rFonts w:cs="宋体"/>
                <w:sz w:val="18"/>
                <w:szCs w:val="18"/>
              </w:rPr>
              <w:t>B份额：Y71118</w:t>
            </w:r>
          </w:p>
          <w:p w:rsidR="009F1694" w:rsidRDefault="005E592C">
            <w:pPr>
              <w:spacing w:line="200" w:lineRule="exact"/>
            </w:pPr>
            <w:r>
              <w:rPr>
                <w:rFonts w:cs="宋体"/>
                <w:sz w:val="18"/>
                <w:szCs w:val="18"/>
              </w:rPr>
              <w:t>C份额：Y72118</w:t>
            </w:r>
          </w:p>
          <w:p w:rsidR="009F1694" w:rsidRDefault="005E592C">
            <w:pPr>
              <w:spacing w:line="200" w:lineRule="exact"/>
            </w:pPr>
            <w:r>
              <w:rPr>
                <w:rFonts w:cs="宋体"/>
                <w:sz w:val="18"/>
                <w:szCs w:val="18"/>
              </w:rPr>
              <w:t>D份额：Y73118</w:t>
            </w:r>
          </w:p>
          <w:p w:rsidR="009F1694" w:rsidRDefault="005E592C">
            <w:pPr>
              <w:spacing w:line="200" w:lineRule="exact"/>
            </w:pPr>
            <w:r>
              <w:rPr>
                <w:rFonts w:cs="宋体"/>
                <w:sz w:val="18"/>
                <w:szCs w:val="18"/>
              </w:rPr>
              <w:t>L份额：YB70118</w:t>
            </w:r>
          </w:p>
          <w:p w:rsidR="009F1694" w:rsidRDefault="005E592C">
            <w:pPr>
              <w:spacing w:line="200" w:lineRule="exact"/>
            </w:pPr>
            <w:r>
              <w:rPr>
                <w:rFonts w:cs="宋体"/>
                <w:b/>
                <w:sz w:val="18"/>
                <w:szCs w:val="18"/>
              </w:rPr>
              <w:t>注：本产品不同份额针对不同的销售机构及客群进行销售，设置有不同的销售费和管理费，具体客群划分标准以销售机构为准。</w:t>
            </w:r>
          </w:p>
        </w:tc>
      </w:tr>
      <w:tr w:rsidR="009F169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全国</w:t>
            </w:r>
          </w:p>
        </w:tc>
      </w:tr>
      <w:tr w:rsidR="009F169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widowControl/>
              <w:spacing w:line="200" w:lineRule="exact"/>
              <w:jc w:val="left"/>
              <w:textAlignment w:val="center"/>
              <w:rPr>
                <w:kern w:val="0"/>
                <w:sz w:val="18"/>
                <w:szCs w:val="18"/>
              </w:rPr>
            </w:pPr>
            <w:r>
              <w:rPr>
                <w:rFonts w:hint="eastAsia"/>
                <w:kern w:val="0"/>
                <w:sz w:val="18"/>
                <w:szCs w:val="18"/>
              </w:rPr>
              <w:t>人民币</w:t>
            </w:r>
          </w:p>
        </w:tc>
      </w:tr>
      <w:tr w:rsidR="009F1694">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本理财产品规模上限为100亿元。理财产品管理人有权对上述规模上限根据实际业务需求进行调整。</w:t>
            </w:r>
          </w:p>
        </w:tc>
      </w:tr>
      <w:tr w:rsidR="009F1694">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9F1694" w:rsidRDefault="005E592C">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9F1694">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sz w:val="18"/>
                <w:szCs w:val="18"/>
              </w:rPr>
              <w:t>符合相关法律法规、监管规定要求的，经销售机构的风险承受能力评估体系评定为适合的个人和机构投资者。</w:t>
            </w:r>
          </w:p>
          <w:p w:rsidR="009F1694" w:rsidRDefault="005E592C">
            <w:pPr>
              <w:spacing w:line="200" w:lineRule="exact"/>
            </w:pPr>
            <w:r>
              <w:rPr>
                <w:rFonts w:cs="宋体"/>
                <w:sz w:val="18"/>
                <w:szCs w:val="18"/>
              </w:rPr>
              <w:t>A份额：除B、C、D、L份额以外的所有客户（详见“销售机构”条款）。</w:t>
            </w:r>
          </w:p>
          <w:p w:rsidR="009F1694" w:rsidRDefault="005E592C">
            <w:pPr>
              <w:spacing w:line="200" w:lineRule="exact"/>
            </w:pPr>
            <w:r>
              <w:rPr>
                <w:rFonts w:cs="宋体"/>
                <w:sz w:val="18"/>
                <w:szCs w:val="18"/>
              </w:rPr>
              <w:t>B份额：南京银行股份有限公司(新客或新资金或代发客户 )、杭州银行股份有限公司( 大众客群)、温州银行股份有限公司、浙江民泰商业银行股份有限公司、广州银行股份有限公司、江苏常熟农村商业银行股份有限公司(专</w:t>
            </w:r>
            <w:proofErr w:type="gramStart"/>
            <w:r>
              <w:rPr>
                <w:rFonts w:cs="宋体"/>
                <w:sz w:val="18"/>
                <w:szCs w:val="18"/>
              </w:rPr>
              <w:t>属客户</w:t>
            </w:r>
            <w:proofErr w:type="gramEnd"/>
            <w:r>
              <w:rPr>
                <w:rFonts w:cs="宋体"/>
                <w:sz w:val="18"/>
                <w:szCs w:val="18"/>
              </w:rPr>
              <w:t>)、江苏苏州农村商业银行股份有限公司( 专</w:t>
            </w:r>
            <w:proofErr w:type="gramStart"/>
            <w:r>
              <w:rPr>
                <w:rFonts w:cs="宋体"/>
                <w:sz w:val="18"/>
                <w:szCs w:val="18"/>
              </w:rPr>
              <w:t>属客户</w:t>
            </w:r>
            <w:proofErr w:type="gramEnd"/>
            <w:r>
              <w:rPr>
                <w:rFonts w:cs="宋体"/>
                <w:sz w:val="18"/>
                <w:szCs w:val="18"/>
              </w:rPr>
              <w:t>)、齐鲁银行股份有限公司(政务服务中心支行开业专享)、甘肃银行股份有限公司、天津农村商业银行股份有限公司(滨海分行专属)、中原银行股份有限公司(县域客群专属)、富邦华</w:t>
            </w:r>
            <w:proofErr w:type="gramStart"/>
            <w:r>
              <w:rPr>
                <w:rFonts w:cs="宋体"/>
                <w:sz w:val="18"/>
                <w:szCs w:val="18"/>
              </w:rPr>
              <w:t>一</w:t>
            </w:r>
            <w:proofErr w:type="gramEnd"/>
            <w:r>
              <w:rPr>
                <w:rFonts w:cs="宋体"/>
                <w:sz w:val="18"/>
                <w:szCs w:val="18"/>
              </w:rPr>
              <w:t>银行有限公司、桂林银行股份有限公司(常规客户)、宁波通商银行股份有限公司(零售客群)、石嘴</w:t>
            </w:r>
            <w:proofErr w:type="gramStart"/>
            <w:r>
              <w:rPr>
                <w:rFonts w:cs="宋体"/>
                <w:sz w:val="18"/>
                <w:szCs w:val="18"/>
              </w:rPr>
              <w:t>山银行</w:t>
            </w:r>
            <w:proofErr w:type="gramEnd"/>
            <w:r>
              <w:rPr>
                <w:rFonts w:cs="宋体"/>
                <w:sz w:val="18"/>
                <w:szCs w:val="18"/>
              </w:rPr>
              <w:t>股份有限公司、兴业银行股份有限公司、江苏镇江农村商业银行股份有限公司( 20万元</w:t>
            </w:r>
            <w:proofErr w:type="gramStart"/>
            <w:r>
              <w:rPr>
                <w:rFonts w:cs="宋体"/>
                <w:sz w:val="18"/>
                <w:szCs w:val="18"/>
              </w:rPr>
              <w:t>起购)</w:t>
            </w:r>
            <w:proofErr w:type="gramEnd"/>
            <w:r>
              <w:rPr>
                <w:rFonts w:cs="宋体"/>
                <w:sz w:val="18"/>
                <w:szCs w:val="18"/>
              </w:rPr>
              <w:t>、江苏如皋农村商业银行股份有限公司( 代发客户)。</w:t>
            </w:r>
          </w:p>
          <w:p w:rsidR="009F1694" w:rsidRDefault="005E592C">
            <w:pPr>
              <w:spacing w:line="200" w:lineRule="exact"/>
            </w:pPr>
            <w:r>
              <w:rPr>
                <w:rFonts w:cs="宋体"/>
                <w:sz w:val="18"/>
                <w:szCs w:val="18"/>
              </w:rPr>
              <w:t>C份额：杭州银行股份有限公司( 私行客群)、日照银行股份有限公司、天津农村商业银行股份有限公司(军人客户)、山西银行股份有限公司(30万元</w:t>
            </w:r>
            <w:proofErr w:type="gramStart"/>
            <w:r>
              <w:rPr>
                <w:rFonts w:cs="宋体"/>
                <w:sz w:val="18"/>
                <w:szCs w:val="18"/>
              </w:rPr>
              <w:t>起购)</w:t>
            </w:r>
            <w:proofErr w:type="gramEnd"/>
            <w:r>
              <w:rPr>
                <w:rFonts w:cs="宋体"/>
                <w:sz w:val="18"/>
                <w:szCs w:val="18"/>
              </w:rPr>
              <w:t>、兰州银行股份有限公司、桂林银行股份有限公司( 特供客户)、宁波通商银行股份有限公司( 专项客群)、江苏泰兴农村商业银行股份有限公司、江苏靖江农村商业银行股份有限公司、江苏兴化农村商业银行股份有限公司、江苏镇江农村商业银行股份有限公司(100万元</w:t>
            </w:r>
            <w:proofErr w:type="gramStart"/>
            <w:r>
              <w:rPr>
                <w:rFonts w:cs="宋体"/>
                <w:sz w:val="18"/>
                <w:szCs w:val="18"/>
              </w:rPr>
              <w:t>起购)</w:t>
            </w:r>
            <w:proofErr w:type="gramEnd"/>
            <w:r>
              <w:rPr>
                <w:rFonts w:cs="宋体"/>
                <w:sz w:val="18"/>
                <w:szCs w:val="18"/>
              </w:rPr>
              <w:t>、江苏紫金农村商业银行股份有限公司(起点金额30万元以上)、江苏如东农村商业银行股份有限公司。</w:t>
            </w:r>
          </w:p>
          <w:p w:rsidR="009F1694" w:rsidRDefault="005E592C">
            <w:pPr>
              <w:spacing w:line="200" w:lineRule="exact"/>
            </w:pPr>
            <w:r>
              <w:rPr>
                <w:rFonts w:cs="宋体"/>
                <w:sz w:val="18"/>
                <w:szCs w:val="18"/>
              </w:rPr>
              <w:t>D份额：天津农村商业银行股份有限公司(新客户)、湖北银行股份有限公司( 5万元以上)、宁波通商银行股份有限公司(对公客群)。</w:t>
            </w:r>
          </w:p>
          <w:p w:rsidR="009F1694" w:rsidRDefault="005E592C">
            <w:pPr>
              <w:spacing w:line="200" w:lineRule="exact"/>
            </w:pPr>
            <w:r>
              <w:rPr>
                <w:rFonts w:cs="宋体"/>
                <w:sz w:val="18"/>
                <w:szCs w:val="18"/>
              </w:rPr>
              <w:t>L份额：天津农村商业银行股份有限公司( 私行客户)。</w:t>
            </w:r>
          </w:p>
          <w:p w:rsidR="009F1694" w:rsidRDefault="005E592C">
            <w:pPr>
              <w:spacing w:line="200" w:lineRule="exact"/>
            </w:pPr>
            <w:r>
              <w:rPr>
                <w:rFonts w:cs="宋体"/>
                <w:b/>
                <w:sz w:val="18"/>
                <w:szCs w:val="18"/>
              </w:rPr>
              <w:t>注：本产品不同份额针对不同的销售机构及客群进行销售，设置有不同的销售费和管理费，具体客群划分标准以销售机构为准。</w:t>
            </w:r>
          </w:p>
          <w:p w:rsidR="009F1694" w:rsidRDefault="005E592C">
            <w:pPr>
              <w:spacing w:line="200" w:lineRule="exact"/>
            </w:pPr>
            <w:r>
              <w:rPr>
                <w:rFonts w:cs="宋体"/>
                <w:b/>
                <w:sz w:val="18"/>
                <w:szCs w:val="18"/>
              </w:rPr>
              <w:t>南京银行股份有限公司（新客或新资金或代发客户）</w:t>
            </w:r>
            <w:r>
              <w:rPr>
                <w:rFonts w:cs="宋体"/>
                <w:sz w:val="18"/>
                <w:szCs w:val="18"/>
              </w:rPr>
              <w:t>：新客是指2025年理财年日均余额为0的客户。新资金（5万）是指金融资产余额较上</w:t>
            </w:r>
            <w:proofErr w:type="gramStart"/>
            <w:r>
              <w:rPr>
                <w:rFonts w:cs="宋体"/>
                <w:sz w:val="18"/>
                <w:szCs w:val="18"/>
              </w:rPr>
              <w:t>月月日均</w:t>
            </w:r>
            <w:proofErr w:type="gramEnd"/>
            <w:r>
              <w:rPr>
                <w:rFonts w:cs="宋体"/>
                <w:sz w:val="18"/>
                <w:szCs w:val="18"/>
              </w:rPr>
              <w:t>增长5万元及以上的客户。代发是指近90天内有过代发记录的客户（不含跨行代发、批量兑付、批量付息）。</w:t>
            </w:r>
          </w:p>
        </w:tc>
      </w:tr>
      <w:tr w:rsidR="009F1694">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A份额/B份额/C份额/D份额/L份额：</w:t>
            </w:r>
          </w:p>
          <w:p w:rsidR="009F1694" w:rsidRDefault="005E592C">
            <w:pPr>
              <w:spacing w:line="200" w:lineRule="exact"/>
            </w:pPr>
            <w:r>
              <w:rPr>
                <w:rFonts w:cs="宋体"/>
                <w:sz w:val="18"/>
                <w:szCs w:val="18"/>
              </w:rPr>
              <w:t>个人投资者投资起点金额1元人民币，以1元的整数</w:t>
            </w:r>
            <w:proofErr w:type="gramStart"/>
            <w:r>
              <w:rPr>
                <w:rFonts w:cs="宋体"/>
                <w:sz w:val="18"/>
                <w:szCs w:val="18"/>
              </w:rPr>
              <w:t>倍</w:t>
            </w:r>
            <w:proofErr w:type="gramEnd"/>
            <w:r>
              <w:rPr>
                <w:rFonts w:cs="宋体"/>
                <w:sz w:val="18"/>
                <w:szCs w:val="18"/>
              </w:rPr>
              <w:t>递增；</w:t>
            </w:r>
          </w:p>
          <w:p w:rsidR="009F1694" w:rsidRDefault="005E592C">
            <w:pPr>
              <w:spacing w:line="200" w:lineRule="exact"/>
            </w:pPr>
            <w:r>
              <w:rPr>
                <w:rFonts w:cs="宋体"/>
                <w:sz w:val="18"/>
                <w:szCs w:val="18"/>
              </w:rPr>
              <w:t>机构投资者投资起点金额1元人民币，以1元的整数</w:t>
            </w:r>
            <w:proofErr w:type="gramStart"/>
            <w:r>
              <w:rPr>
                <w:rFonts w:cs="宋体"/>
                <w:sz w:val="18"/>
                <w:szCs w:val="18"/>
              </w:rPr>
              <w:t>倍</w:t>
            </w:r>
            <w:proofErr w:type="gramEnd"/>
            <w:r>
              <w:rPr>
                <w:rFonts w:cs="宋体"/>
                <w:sz w:val="18"/>
                <w:szCs w:val="18"/>
              </w:rPr>
              <w:t>递增；</w:t>
            </w:r>
          </w:p>
          <w:p w:rsidR="009F1694" w:rsidRDefault="005E592C">
            <w:pPr>
              <w:spacing w:line="200" w:lineRule="exact"/>
            </w:pPr>
            <w:r>
              <w:rPr>
                <w:rFonts w:cs="宋体"/>
                <w:sz w:val="18"/>
                <w:szCs w:val="18"/>
              </w:rPr>
              <w:t>后续在符合监管政策规定的条件下，理财产品管理人有权对上述投资起点金额和递增金额进行调整,并在调整日前至少3个工作日进行信</w:t>
            </w:r>
            <w:r>
              <w:rPr>
                <w:rFonts w:cs="宋体"/>
                <w:sz w:val="18"/>
                <w:szCs w:val="18"/>
              </w:rPr>
              <w:lastRenderedPageBreak/>
              <w:t>息披露。</w:t>
            </w:r>
          </w:p>
          <w:p w:rsidR="009F1694" w:rsidRDefault="005E592C">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kern w:val="0"/>
                <w:sz w:val="18"/>
                <w:szCs w:val="18"/>
              </w:rPr>
              <w:lastRenderedPageBreak/>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A份额/B份额/C份额/D份额/L份额：</w:t>
            </w:r>
          </w:p>
          <w:p w:rsidR="009F1694" w:rsidRDefault="005E592C">
            <w:pPr>
              <w:spacing w:line="200" w:lineRule="exact"/>
            </w:pPr>
            <w:r>
              <w:rPr>
                <w:rFonts w:cs="宋体"/>
                <w:sz w:val="18"/>
                <w:szCs w:val="18"/>
              </w:rPr>
              <w:t>暂不设置单个投资者持有金额上限；</w:t>
            </w:r>
          </w:p>
          <w:p w:rsidR="009F1694" w:rsidRDefault="005E592C">
            <w:pPr>
              <w:spacing w:line="200" w:lineRule="exact"/>
              <w:jc w:val="left"/>
            </w:pPr>
            <w:r>
              <w:rPr>
                <w:rFonts w:cs="宋体"/>
                <w:sz w:val="18"/>
                <w:szCs w:val="18"/>
              </w:rPr>
              <w:t>注：1.管理人有权对上述单个投资者持有金额上限进行调整或取消，并在调整或取消前至少3个工作日公告。</w:t>
            </w:r>
          </w:p>
          <w:p w:rsidR="009F1694" w:rsidRDefault="005E592C">
            <w:pPr>
              <w:spacing w:line="200" w:lineRule="exact"/>
              <w:jc w:val="left"/>
            </w:pPr>
            <w:r>
              <w:rPr>
                <w:rFonts w:cs="宋体"/>
                <w:sz w:val="18"/>
                <w:szCs w:val="18"/>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sz w:val="18"/>
                <w:szCs w:val="18"/>
              </w:rPr>
              <w:t>本理财产品单一投资者持有的份额（含已确认和待确认的份额）不得超过本理财产品总份额的50%，管理人有权拒绝导致投资者持有份额突破前述50%比例限制的认申购申请。</w:t>
            </w:r>
          </w:p>
          <w:p w:rsidR="009F1694" w:rsidRDefault="005E592C">
            <w:pPr>
              <w:spacing w:line="200" w:lineRule="exact"/>
              <w:jc w:val="left"/>
            </w:pPr>
            <w:r>
              <w:rPr>
                <w:rFonts w:cs="宋体"/>
                <w:sz w:val="18"/>
                <w:szCs w:val="18"/>
              </w:rPr>
              <w:t>非因管理人主观因素导致突破上述50%比例限制的，在单一投资者持有比例降至50%以下之前，管理人不再接受该投资者对本理财产品的认申购申请。</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color w:val="000000"/>
                <w:sz w:val="18"/>
                <w:szCs w:val="18"/>
              </w:rPr>
              <w:t>2025年03月26日 09:00—2025年04月01日 17:00（管理人有权根据市场变化情况缩短或延长募集期并提前成立或推迟成立，产品提前或推迟成立时管理人将调整相关日期并进行信息披露）代销机构可根据其销售需要在本募集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认购份额=确认认购金额/1。（认购份额以去尾法保留两位小数）</w:t>
            </w:r>
          </w:p>
        </w:tc>
      </w:tr>
      <w:tr w:rsidR="009F1694">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rPr>
                <w:color w:val="000000"/>
                <w:kern w:val="0"/>
                <w:sz w:val="18"/>
                <w:szCs w:val="18"/>
              </w:rPr>
            </w:pPr>
            <w:r>
              <w:rPr>
                <w:rFonts w:hint="eastAsia"/>
                <w:color w:val="000000"/>
                <w:kern w:val="0"/>
                <w:sz w:val="18"/>
                <w:szCs w:val="18"/>
              </w:rPr>
              <w:t>同产品成立日</w:t>
            </w:r>
          </w:p>
        </w:tc>
      </w:tr>
      <w:tr w:rsidR="009F1694">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hint="eastAsia"/>
                <w:kern w:val="0"/>
                <w:sz w:val="18"/>
                <w:szCs w:val="18"/>
              </w:rPr>
              <w:t>2025年04月02日</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2025年04月02日—实际到期日（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197天</w:t>
            </w:r>
            <w:r>
              <w:rPr>
                <w:rFonts w:cs="宋体"/>
                <w:sz w:val="18"/>
                <w:szCs w:val="18"/>
              </w:rPr>
              <w:t>；若出现以上情形，则理财存续期限和实际到期日将相应调整，管理人将至少提前3个工作日进行信息披露。）</w:t>
            </w:r>
          </w:p>
        </w:tc>
      </w:tr>
      <w:tr w:rsidR="009F1694">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2025年10月16日</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color w:val="000000"/>
                <w:sz w:val="18"/>
                <w:szCs w:val="18"/>
              </w:rPr>
              <w:t>到期兑付金额=到期时持有份额×R。 R为期末理财产品单位净值。（已扣除相关费用，到期兑付金额以去尾法保留两位小数）</w:t>
            </w:r>
          </w:p>
        </w:tc>
      </w:tr>
      <w:tr w:rsidR="009F169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本理财产品存续期间不进行分红。</w:t>
            </w:r>
          </w:p>
          <w:p w:rsidR="009F1694" w:rsidRDefault="005E592C">
            <w:pPr>
              <w:spacing w:line="200" w:lineRule="exact"/>
            </w:pPr>
            <w:r>
              <w:rPr>
                <w:rFonts w:cs="宋体"/>
                <w:sz w:val="18"/>
                <w:szCs w:val="18"/>
              </w:rPr>
              <w:t>产品到期后，理财产品管理人和代销机构将根据理财资金所投资资产实际运作情况向投资者分配到期款项。</w:t>
            </w:r>
          </w:p>
        </w:tc>
      </w:tr>
      <w:tr w:rsidR="009F1694">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到期资金将于实际到期日后5个工作日内划入投资者授权指定账户，实际到期日后至投资者收益划到投资者授权指定账户之前不计任何收益。</w:t>
            </w:r>
          </w:p>
        </w:tc>
      </w:tr>
      <w:tr w:rsidR="009F1694">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sz w:val="18"/>
                <w:szCs w:val="18"/>
              </w:rPr>
              <w:t>本理财产品募集的资金投资于以下金融资产和金融工具，包括但不限于：</w:t>
            </w:r>
          </w:p>
          <w:p w:rsidR="009F1694" w:rsidRDefault="005E592C">
            <w:pPr>
              <w:spacing w:line="200" w:lineRule="exact"/>
              <w:jc w:val="left"/>
            </w:pPr>
            <w:r>
              <w:rPr>
                <w:rFonts w:cs="宋体"/>
                <w:sz w:val="18"/>
                <w:szCs w:val="18"/>
              </w:rPr>
              <w:t>1.现金、银行存款、银行承兑汇票、同业存款、大额存单、同业存单、债券回购、货币基金等货币市场工具；</w:t>
            </w:r>
          </w:p>
          <w:p w:rsidR="009F1694" w:rsidRDefault="005E592C">
            <w:pPr>
              <w:spacing w:line="200" w:lineRule="exact"/>
              <w:jc w:val="left"/>
            </w:pPr>
            <w:r>
              <w:rPr>
                <w:rFonts w:cs="宋体"/>
                <w:sz w:val="18"/>
                <w:szCs w:val="18"/>
              </w:rPr>
              <w:t>2.国债、央票、企业债、金融债、政策性金融债、次级债、二级资本债、永续债、资产支持证券、资产支持票据、地方政府债、中期票据、超短期融资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、公司债、可转债、可交债、非公开定向债务融资工具(PPN)、公募债券型证券投资基金等标准化债权类资产；</w:t>
            </w:r>
          </w:p>
          <w:p w:rsidR="009F1694" w:rsidRDefault="005E592C">
            <w:pPr>
              <w:spacing w:line="200" w:lineRule="exact"/>
              <w:jc w:val="left"/>
            </w:pPr>
            <w:r>
              <w:rPr>
                <w:rFonts w:cs="宋体"/>
                <w:sz w:val="18"/>
                <w:szCs w:val="18"/>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9F1694" w:rsidRDefault="005E592C">
            <w:pPr>
              <w:spacing w:line="200" w:lineRule="exact"/>
              <w:jc w:val="left"/>
            </w:pPr>
            <w:r>
              <w:rPr>
                <w:rFonts w:cs="宋体"/>
                <w:sz w:val="18"/>
                <w:szCs w:val="18"/>
              </w:rPr>
              <w:t>4.投资范围为上述资产的信托计划、资产管理计划等资产管理产品；</w:t>
            </w:r>
          </w:p>
          <w:p w:rsidR="009F1694" w:rsidRDefault="005E592C">
            <w:pPr>
              <w:spacing w:line="200" w:lineRule="exact"/>
              <w:jc w:val="left"/>
            </w:pPr>
            <w:r>
              <w:rPr>
                <w:rFonts w:cs="宋体"/>
                <w:sz w:val="18"/>
                <w:szCs w:val="18"/>
              </w:rPr>
              <w:t>5.法律法规或监管机构允许投资的符合本理财产品投资性质的其他金融工具；</w:t>
            </w:r>
          </w:p>
          <w:p w:rsidR="009F1694" w:rsidRDefault="005E592C">
            <w:pPr>
              <w:spacing w:line="200" w:lineRule="exact"/>
            </w:pPr>
            <w:r>
              <w:rPr>
                <w:rFonts w:cs="宋体"/>
                <w:sz w:val="18"/>
                <w:szCs w:val="18"/>
              </w:rPr>
              <w:t>6.如存在法律法规或监管机构以后允许投资的其他品种或法律法规或监管政策出现调整，管理人在履行本理财产品销售文件规定的适当程序后，有权调整以上品种。</w:t>
            </w:r>
          </w:p>
        </w:tc>
      </w:tr>
      <w:tr w:rsidR="009F169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本理财产品投资于固定收益类资产的比例不低于80%,投资于非标准化债权类资产的比例不高于50%。</w:t>
            </w:r>
          </w:p>
          <w:p w:rsidR="009F1694" w:rsidRDefault="005E592C">
            <w:pPr>
              <w:spacing w:line="200" w:lineRule="exact"/>
            </w:pPr>
            <w:r>
              <w:rPr>
                <w:rFonts w:cs="宋体"/>
                <w:sz w:val="18"/>
                <w:szCs w:val="18"/>
              </w:rPr>
              <w:t>注：非因管理人主观因素导致突破上述比例限制的，管理人将在流动性受限资产可出售、可转让或者恢复交易的15个交易日内将投资比</w:t>
            </w:r>
            <w:r>
              <w:rPr>
                <w:rFonts w:cs="宋体"/>
                <w:sz w:val="18"/>
                <w:szCs w:val="18"/>
              </w:rPr>
              <w:lastRenderedPageBreak/>
              <w:t>例调整至符合说明书约定的范围。如果法律法规或者监管机构变更投资品种的投资比例限制，理财产品管理人在履行本理财产品销售文件约定的适当程序后，可以调整上述投资品种的投资比例。</w:t>
            </w:r>
          </w:p>
        </w:tc>
      </w:tr>
      <w:tr w:rsidR="009F169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lastRenderedPageBreak/>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9F1694">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9F1694" w:rsidRDefault="005E592C">
            <w:pPr>
              <w:spacing w:line="200" w:lineRule="exact"/>
            </w:pPr>
            <w:r>
              <w:rPr>
                <w:rFonts w:cs="宋体"/>
                <w:sz w:val="18"/>
                <w:szCs w:val="18"/>
              </w:rPr>
              <w:t>（1）信托贷款：资产类型为信托公司设立的资金信托计划，底层资产为京东及信托公司双重审核、信托公司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的“白条”个人消费贷款债权，资产到期日不超过理财产品到期日。</w:t>
            </w:r>
          </w:p>
          <w:p w:rsidR="009F1694" w:rsidRDefault="005E592C">
            <w:pPr>
              <w:spacing w:line="200" w:lineRule="exact"/>
            </w:pPr>
            <w:r>
              <w:rPr>
                <w:rFonts w:cs="宋体"/>
                <w:sz w:val="18"/>
                <w:szCs w:val="18"/>
              </w:rPr>
              <w:t>（2）信托贷款：资产类型为信托公司设立的资金信托计划，底层资产为京东及信托公司双重审核、信托公司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的“金条”个人消费贷款债权，资产到期日不超过理财产品到期日。</w:t>
            </w:r>
          </w:p>
          <w:p w:rsidR="009F1694" w:rsidRDefault="005E592C">
            <w:pPr>
              <w:spacing w:line="200" w:lineRule="exact"/>
            </w:pPr>
            <w:r>
              <w:rPr>
                <w:rFonts w:cs="宋体"/>
                <w:sz w:val="18"/>
                <w:szCs w:val="18"/>
              </w:rPr>
              <w:t>（3）信托贷款：资产类型为信托公司设立的资金信托计划，底层资产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的“月付”个人消费贷款债权，资产到期日不超过理财产品到期日。</w:t>
            </w:r>
          </w:p>
          <w:p w:rsidR="009F1694" w:rsidRDefault="005E592C">
            <w:pPr>
              <w:spacing w:line="200" w:lineRule="exact"/>
            </w:pPr>
            <w:r>
              <w:rPr>
                <w:rFonts w:cs="宋体"/>
                <w:sz w:val="18"/>
                <w:szCs w:val="18"/>
              </w:rPr>
              <w:t>（4）信托贷款：资产类型为信托公司设立的资金信托计划，底层资产为蚂蚁及信托公司双重审核、信托公司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的“花呗”个人消费贷款债权，资产到期日不超过理财产品到期日。</w:t>
            </w:r>
          </w:p>
          <w:p w:rsidR="009F1694" w:rsidRDefault="005E592C">
            <w:pPr>
              <w:spacing w:line="200" w:lineRule="exact"/>
            </w:pPr>
            <w:r>
              <w:rPr>
                <w:rFonts w:cs="宋体"/>
                <w:b/>
                <w:sz w:val="18"/>
                <w:szCs w:val="18"/>
              </w:rPr>
              <w:t>以上资产剩余期限均不超过产品期限。</w:t>
            </w:r>
          </w:p>
          <w:p w:rsidR="009F1694" w:rsidRDefault="005E592C">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A份额：业绩比较基准为2.38%(</w:t>
            </w:r>
            <w:proofErr w:type="gramStart"/>
            <w:r>
              <w:rPr>
                <w:rFonts w:cs="宋体"/>
                <w:sz w:val="18"/>
                <w:szCs w:val="18"/>
              </w:rPr>
              <w:t>年化</w:t>
            </w:r>
            <w:proofErr w:type="gramEnd"/>
            <w:r>
              <w:rPr>
                <w:rFonts w:cs="宋体"/>
                <w:sz w:val="18"/>
                <w:szCs w:val="18"/>
              </w:rPr>
              <w:t>)。</w:t>
            </w:r>
          </w:p>
          <w:p w:rsidR="009F1694" w:rsidRDefault="005E592C">
            <w:pPr>
              <w:spacing w:line="200" w:lineRule="exact"/>
            </w:pPr>
            <w:r>
              <w:rPr>
                <w:rFonts w:cs="宋体"/>
                <w:sz w:val="18"/>
                <w:szCs w:val="18"/>
              </w:rPr>
              <w:t>B份额：业绩比较基准为2.48%(</w:t>
            </w:r>
            <w:proofErr w:type="gramStart"/>
            <w:r>
              <w:rPr>
                <w:rFonts w:cs="宋体"/>
                <w:sz w:val="18"/>
                <w:szCs w:val="18"/>
              </w:rPr>
              <w:t>年化</w:t>
            </w:r>
            <w:proofErr w:type="gramEnd"/>
            <w:r>
              <w:rPr>
                <w:rFonts w:cs="宋体"/>
                <w:sz w:val="18"/>
                <w:szCs w:val="18"/>
              </w:rPr>
              <w:t>)。</w:t>
            </w:r>
          </w:p>
          <w:p w:rsidR="009F1694" w:rsidRDefault="005E592C">
            <w:pPr>
              <w:spacing w:line="200" w:lineRule="exact"/>
            </w:pPr>
            <w:r>
              <w:rPr>
                <w:rFonts w:cs="宋体"/>
                <w:sz w:val="18"/>
                <w:szCs w:val="18"/>
              </w:rPr>
              <w:t>C份额：业绩比较基准为2.58%(</w:t>
            </w:r>
            <w:proofErr w:type="gramStart"/>
            <w:r>
              <w:rPr>
                <w:rFonts w:cs="宋体"/>
                <w:sz w:val="18"/>
                <w:szCs w:val="18"/>
              </w:rPr>
              <w:t>年化</w:t>
            </w:r>
            <w:proofErr w:type="gramEnd"/>
            <w:r>
              <w:rPr>
                <w:rFonts w:cs="宋体"/>
                <w:sz w:val="18"/>
                <w:szCs w:val="18"/>
              </w:rPr>
              <w:t>)。</w:t>
            </w:r>
          </w:p>
          <w:p w:rsidR="009F1694" w:rsidRDefault="005E592C">
            <w:pPr>
              <w:spacing w:line="200" w:lineRule="exact"/>
            </w:pPr>
            <w:r>
              <w:rPr>
                <w:rFonts w:cs="宋体"/>
                <w:sz w:val="18"/>
                <w:szCs w:val="18"/>
              </w:rPr>
              <w:t>D份额：业绩比较基准为2.68%(</w:t>
            </w:r>
            <w:proofErr w:type="gramStart"/>
            <w:r>
              <w:rPr>
                <w:rFonts w:cs="宋体"/>
                <w:sz w:val="18"/>
                <w:szCs w:val="18"/>
              </w:rPr>
              <w:t>年化</w:t>
            </w:r>
            <w:proofErr w:type="gramEnd"/>
            <w:r>
              <w:rPr>
                <w:rFonts w:cs="宋体"/>
                <w:sz w:val="18"/>
                <w:szCs w:val="18"/>
              </w:rPr>
              <w:t>)。</w:t>
            </w:r>
          </w:p>
          <w:p w:rsidR="009F1694" w:rsidRDefault="005E592C">
            <w:pPr>
              <w:spacing w:line="200" w:lineRule="exact"/>
            </w:pPr>
            <w:r>
              <w:rPr>
                <w:rFonts w:cs="宋体"/>
                <w:sz w:val="18"/>
                <w:szCs w:val="18"/>
              </w:rPr>
              <w:t>L份额：业绩比较基准为2.63%(</w:t>
            </w:r>
            <w:proofErr w:type="gramStart"/>
            <w:r>
              <w:rPr>
                <w:rFonts w:cs="宋体"/>
                <w:sz w:val="18"/>
                <w:szCs w:val="18"/>
              </w:rPr>
              <w:t>年化</w:t>
            </w:r>
            <w:proofErr w:type="gramEnd"/>
            <w:r>
              <w:rPr>
                <w:rFonts w:cs="宋体"/>
                <w:sz w:val="18"/>
                <w:szCs w:val="18"/>
              </w:rPr>
              <w:t>)。</w:t>
            </w:r>
          </w:p>
          <w:p w:rsidR="009F1694" w:rsidRDefault="005E592C">
            <w:pPr>
              <w:spacing w:line="200" w:lineRule="exact"/>
            </w:pPr>
            <w:r>
              <w:rPr>
                <w:rFonts w:cs="宋体"/>
                <w:sz w:val="18"/>
                <w:szCs w:val="18"/>
              </w:rPr>
              <w:t>本产品不同份额针对不同的销售机构及客群进行销售，设置有不同的销售费和管理费，导致业绩基准测算结果不同。</w:t>
            </w:r>
          </w:p>
          <w:p w:rsidR="009F1694" w:rsidRDefault="005E592C">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标的和相应投资市场波动的预判设定的投资目标。本理财产品投资于固定收益类资产的比例不低于80%,投资于非标准化债权类资产的比例不高于50%。结合债券市场和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9F1694" w:rsidRDefault="005E592C">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bCs/>
                <w:kern w:val="0"/>
                <w:sz w:val="18"/>
                <w:szCs w:val="18"/>
              </w:rPr>
            </w:pPr>
            <w:r>
              <w:rPr>
                <w:rFonts w:hint="eastAsia"/>
                <w:kern w:val="0"/>
                <w:sz w:val="18"/>
                <w:szCs w:val="18"/>
              </w:rPr>
              <w:t>产品费用</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b/>
                <w:sz w:val="18"/>
                <w:szCs w:val="18"/>
              </w:rPr>
              <w:t>认/申购费：本理财产品暂不收取认/申购费。</w:t>
            </w:r>
          </w:p>
          <w:p w:rsidR="009F1694" w:rsidRDefault="005E592C">
            <w:pPr>
              <w:spacing w:line="200" w:lineRule="exact"/>
            </w:pPr>
            <w:r>
              <w:rPr>
                <w:rFonts w:cs="宋体"/>
                <w:b/>
                <w:sz w:val="18"/>
                <w:szCs w:val="18"/>
              </w:rPr>
              <w:t>赎回费：本理财产品暂不收取赎回费。</w:t>
            </w:r>
          </w:p>
          <w:p w:rsidR="009F1694" w:rsidRDefault="005E592C">
            <w:pPr>
              <w:spacing w:line="200" w:lineRule="exact"/>
            </w:pPr>
            <w:r>
              <w:rPr>
                <w:rFonts w:cs="宋体"/>
                <w:b/>
                <w:sz w:val="18"/>
                <w:szCs w:val="18"/>
              </w:rPr>
              <w:t>销售费：本理财产品按前一日理财产品资产净值收取销售费，按日计提。</w:t>
            </w:r>
          </w:p>
          <w:p w:rsidR="009F1694" w:rsidRDefault="005E592C">
            <w:pPr>
              <w:spacing w:line="200" w:lineRule="exact"/>
            </w:pPr>
            <w:r>
              <w:rPr>
                <w:rFonts w:cs="宋体"/>
                <w:b/>
                <w:sz w:val="18"/>
                <w:szCs w:val="18"/>
              </w:rPr>
              <w:t>A份额：销售</w:t>
            </w:r>
            <w:proofErr w:type="gramStart"/>
            <w:r>
              <w:rPr>
                <w:rFonts w:cs="宋体"/>
                <w:b/>
                <w:sz w:val="18"/>
                <w:szCs w:val="18"/>
              </w:rPr>
              <w:t>费年化</w:t>
            </w:r>
            <w:proofErr w:type="gramEnd"/>
            <w:r>
              <w:rPr>
                <w:rFonts w:cs="宋体"/>
                <w:b/>
                <w:sz w:val="18"/>
                <w:szCs w:val="18"/>
              </w:rPr>
              <w:t>0.2%</w:t>
            </w:r>
          </w:p>
          <w:p w:rsidR="009F1694" w:rsidRDefault="005E592C">
            <w:pPr>
              <w:spacing w:line="200" w:lineRule="exact"/>
            </w:pPr>
            <w:r>
              <w:rPr>
                <w:rFonts w:cs="宋体"/>
                <w:b/>
                <w:sz w:val="18"/>
                <w:szCs w:val="18"/>
              </w:rPr>
              <w:t>B份额：销售</w:t>
            </w:r>
            <w:proofErr w:type="gramStart"/>
            <w:r>
              <w:rPr>
                <w:rFonts w:cs="宋体"/>
                <w:b/>
                <w:sz w:val="18"/>
                <w:szCs w:val="18"/>
              </w:rPr>
              <w:t>费年化</w:t>
            </w:r>
            <w:proofErr w:type="gramEnd"/>
            <w:r>
              <w:rPr>
                <w:rFonts w:cs="宋体"/>
                <w:b/>
                <w:sz w:val="18"/>
                <w:szCs w:val="18"/>
              </w:rPr>
              <w:t>0.15%</w:t>
            </w:r>
          </w:p>
          <w:p w:rsidR="009F1694" w:rsidRDefault="005E592C">
            <w:pPr>
              <w:spacing w:line="200" w:lineRule="exact"/>
            </w:pPr>
            <w:r>
              <w:rPr>
                <w:rFonts w:cs="宋体"/>
                <w:b/>
                <w:sz w:val="18"/>
                <w:szCs w:val="18"/>
              </w:rPr>
              <w:t>C份额：销售</w:t>
            </w:r>
            <w:proofErr w:type="gramStart"/>
            <w:r>
              <w:rPr>
                <w:rFonts w:cs="宋体"/>
                <w:b/>
                <w:sz w:val="18"/>
                <w:szCs w:val="18"/>
              </w:rPr>
              <w:t>费年化</w:t>
            </w:r>
            <w:proofErr w:type="gramEnd"/>
            <w:r>
              <w:rPr>
                <w:rFonts w:cs="宋体"/>
                <w:b/>
                <w:sz w:val="18"/>
                <w:szCs w:val="18"/>
              </w:rPr>
              <w:t>0.05%</w:t>
            </w:r>
          </w:p>
          <w:p w:rsidR="009F1694" w:rsidRDefault="005E592C">
            <w:pPr>
              <w:spacing w:line="200" w:lineRule="exact"/>
            </w:pPr>
            <w:r>
              <w:rPr>
                <w:rFonts w:cs="宋体"/>
                <w:b/>
                <w:sz w:val="18"/>
                <w:szCs w:val="18"/>
              </w:rPr>
              <w:t>D份额：销售</w:t>
            </w:r>
            <w:proofErr w:type="gramStart"/>
            <w:r>
              <w:rPr>
                <w:rFonts w:cs="宋体"/>
                <w:b/>
                <w:sz w:val="18"/>
                <w:szCs w:val="18"/>
              </w:rPr>
              <w:t>费年化</w:t>
            </w:r>
            <w:proofErr w:type="gramEnd"/>
            <w:r>
              <w:rPr>
                <w:rFonts w:cs="宋体"/>
                <w:b/>
                <w:sz w:val="18"/>
                <w:szCs w:val="18"/>
              </w:rPr>
              <w:t>0%</w:t>
            </w:r>
          </w:p>
          <w:p w:rsidR="009F1694" w:rsidRDefault="005E592C">
            <w:pPr>
              <w:spacing w:line="200" w:lineRule="exact"/>
            </w:pPr>
            <w:r>
              <w:rPr>
                <w:rFonts w:cs="宋体"/>
                <w:b/>
                <w:sz w:val="18"/>
                <w:szCs w:val="18"/>
              </w:rPr>
              <w:t>L份额：销售</w:t>
            </w:r>
            <w:proofErr w:type="gramStart"/>
            <w:r>
              <w:rPr>
                <w:rFonts w:cs="宋体"/>
                <w:b/>
                <w:sz w:val="18"/>
                <w:szCs w:val="18"/>
              </w:rPr>
              <w:t>费年化</w:t>
            </w:r>
            <w:proofErr w:type="gramEnd"/>
            <w:r>
              <w:rPr>
                <w:rFonts w:cs="宋体"/>
                <w:b/>
                <w:sz w:val="18"/>
                <w:szCs w:val="18"/>
              </w:rPr>
              <w:t>0.05%</w:t>
            </w:r>
          </w:p>
          <w:p w:rsidR="009F1694" w:rsidRDefault="005E592C">
            <w:pPr>
              <w:spacing w:line="200" w:lineRule="exact"/>
            </w:pPr>
            <w:r>
              <w:rPr>
                <w:rFonts w:cs="宋体"/>
                <w:b/>
                <w:sz w:val="18"/>
                <w:szCs w:val="18"/>
              </w:rPr>
              <w:t>每日计提的销售费=前一日理财产品资产净值×</w:t>
            </w:r>
            <w:proofErr w:type="gramStart"/>
            <w:r>
              <w:rPr>
                <w:rFonts w:cs="宋体"/>
                <w:b/>
                <w:sz w:val="18"/>
                <w:szCs w:val="18"/>
              </w:rPr>
              <w:t>年化销售</w:t>
            </w:r>
            <w:proofErr w:type="gramEnd"/>
            <w:r>
              <w:rPr>
                <w:rFonts w:cs="宋体"/>
                <w:b/>
                <w:sz w:val="18"/>
                <w:szCs w:val="18"/>
              </w:rPr>
              <w:t>费率÷365</w:t>
            </w:r>
          </w:p>
          <w:p w:rsidR="009F1694" w:rsidRDefault="005E592C">
            <w:pPr>
              <w:spacing w:line="200" w:lineRule="exact"/>
            </w:pPr>
            <w:r>
              <w:rPr>
                <w:rFonts w:cs="宋体"/>
                <w:b/>
                <w:sz w:val="18"/>
                <w:szCs w:val="18"/>
              </w:rPr>
              <w:t>固定管理费：本理财产品按前一日理财产品资产净值收取固定管理费，按日计提。</w:t>
            </w:r>
          </w:p>
          <w:p w:rsidR="009F1694" w:rsidRDefault="005E592C">
            <w:pPr>
              <w:spacing w:line="200" w:lineRule="exact"/>
            </w:pPr>
            <w:r>
              <w:rPr>
                <w:rFonts w:cs="宋体"/>
                <w:b/>
                <w:sz w:val="18"/>
                <w:szCs w:val="18"/>
              </w:rPr>
              <w:t>A份额：固定</w:t>
            </w:r>
            <w:proofErr w:type="gramStart"/>
            <w:r>
              <w:rPr>
                <w:rFonts w:cs="宋体"/>
                <w:b/>
                <w:sz w:val="18"/>
                <w:szCs w:val="18"/>
              </w:rPr>
              <w:t>管理费年化</w:t>
            </w:r>
            <w:proofErr w:type="gramEnd"/>
            <w:r>
              <w:rPr>
                <w:rFonts w:cs="宋体"/>
                <w:b/>
                <w:sz w:val="18"/>
                <w:szCs w:val="18"/>
              </w:rPr>
              <w:t>0.18%</w:t>
            </w:r>
          </w:p>
          <w:p w:rsidR="009F1694" w:rsidRDefault="005E592C">
            <w:pPr>
              <w:spacing w:line="200" w:lineRule="exact"/>
            </w:pPr>
            <w:r>
              <w:rPr>
                <w:rFonts w:cs="宋体"/>
                <w:b/>
                <w:sz w:val="18"/>
                <w:szCs w:val="18"/>
              </w:rPr>
              <w:t>B份额：固定</w:t>
            </w:r>
            <w:proofErr w:type="gramStart"/>
            <w:r>
              <w:rPr>
                <w:rFonts w:cs="宋体"/>
                <w:b/>
                <w:sz w:val="18"/>
                <w:szCs w:val="18"/>
              </w:rPr>
              <w:t>管理费年化</w:t>
            </w:r>
            <w:proofErr w:type="gramEnd"/>
            <w:r>
              <w:rPr>
                <w:rFonts w:cs="宋体"/>
                <w:b/>
                <w:sz w:val="18"/>
                <w:szCs w:val="18"/>
              </w:rPr>
              <w:t>0.13%</w:t>
            </w:r>
          </w:p>
          <w:p w:rsidR="009F1694" w:rsidRDefault="005E592C">
            <w:pPr>
              <w:spacing w:line="200" w:lineRule="exact"/>
            </w:pPr>
            <w:r>
              <w:rPr>
                <w:rFonts w:cs="宋体"/>
                <w:b/>
                <w:sz w:val="18"/>
                <w:szCs w:val="18"/>
              </w:rPr>
              <w:t>C份额：固定</w:t>
            </w:r>
            <w:proofErr w:type="gramStart"/>
            <w:r>
              <w:rPr>
                <w:rFonts w:cs="宋体"/>
                <w:b/>
                <w:sz w:val="18"/>
                <w:szCs w:val="18"/>
              </w:rPr>
              <w:t>管理费年化</w:t>
            </w:r>
            <w:proofErr w:type="gramEnd"/>
            <w:r>
              <w:rPr>
                <w:rFonts w:cs="宋体"/>
                <w:b/>
                <w:sz w:val="18"/>
                <w:szCs w:val="18"/>
              </w:rPr>
              <w:t>0.13%</w:t>
            </w:r>
          </w:p>
          <w:p w:rsidR="009F1694" w:rsidRDefault="005E592C">
            <w:pPr>
              <w:spacing w:line="200" w:lineRule="exact"/>
            </w:pPr>
            <w:r>
              <w:rPr>
                <w:rFonts w:cs="宋体"/>
                <w:b/>
                <w:sz w:val="18"/>
                <w:szCs w:val="18"/>
              </w:rPr>
              <w:t>D份额：固定</w:t>
            </w:r>
            <w:proofErr w:type="gramStart"/>
            <w:r>
              <w:rPr>
                <w:rFonts w:cs="宋体"/>
                <w:b/>
                <w:sz w:val="18"/>
                <w:szCs w:val="18"/>
              </w:rPr>
              <w:t>管理费年化</w:t>
            </w:r>
            <w:proofErr w:type="gramEnd"/>
            <w:r>
              <w:rPr>
                <w:rFonts w:cs="宋体"/>
                <w:b/>
                <w:sz w:val="18"/>
                <w:szCs w:val="18"/>
              </w:rPr>
              <w:t>0.08%</w:t>
            </w:r>
          </w:p>
          <w:p w:rsidR="009F1694" w:rsidRDefault="005E592C">
            <w:pPr>
              <w:spacing w:line="200" w:lineRule="exact"/>
            </w:pPr>
            <w:r>
              <w:rPr>
                <w:rFonts w:cs="宋体"/>
                <w:b/>
                <w:sz w:val="18"/>
                <w:szCs w:val="18"/>
              </w:rPr>
              <w:t>L份额：固定</w:t>
            </w:r>
            <w:proofErr w:type="gramStart"/>
            <w:r>
              <w:rPr>
                <w:rFonts w:cs="宋体"/>
                <w:b/>
                <w:sz w:val="18"/>
                <w:szCs w:val="18"/>
              </w:rPr>
              <w:t>管理费年化</w:t>
            </w:r>
            <w:proofErr w:type="gramEnd"/>
            <w:r>
              <w:rPr>
                <w:rFonts w:cs="宋体"/>
                <w:b/>
                <w:sz w:val="18"/>
                <w:szCs w:val="18"/>
              </w:rPr>
              <w:t>0.08%</w:t>
            </w:r>
          </w:p>
          <w:p w:rsidR="009F1694" w:rsidRDefault="005E592C">
            <w:pPr>
              <w:spacing w:line="200" w:lineRule="exact"/>
            </w:pPr>
            <w:r>
              <w:rPr>
                <w:rFonts w:cs="宋体"/>
                <w:b/>
                <w:sz w:val="18"/>
                <w:szCs w:val="18"/>
              </w:rPr>
              <w:t>每日计提的固定管理费=前一日理财产品资产净值×</w:t>
            </w:r>
            <w:proofErr w:type="gramStart"/>
            <w:r>
              <w:rPr>
                <w:rFonts w:cs="宋体"/>
                <w:b/>
                <w:sz w:val="18"/>
                <w:szCs w:val="18"/>
              </w:rPr>
              <w:t>年化固定</w:t>
            </w:r>
            <w:proofErr w:type="gramEnd"/>
            <w:r>
              <w:rPr>
                <w:rFonts w:cs="宋体"/>
                <w:b/>
                <w:sz w:val="18"/>
                <w:szCs w:val="18"/>
              </w:rPr>
              <w:t>管理费率÷365</w:t>
            </w:r>
          </w:p>
          <w:p w:rsidR="009F1694" w:rsidRDefault="005E592C">
            <w:pPr>
              <w:spacing w:line="200" w:lineRule="exact"/>
            </w:pPr>
            <w:r>
              <w:rPr>
                <w:rFonts w:cs="宋体"/>
                <w:b/>
                <w:sz w:val="18"/>
                <w:szCs w:val="18"/>
              </w:rPr>
              <w:t>托管费：</w:t>
            </w:r>
          </w:p>
          <w:p w:rsidR="009F1694" w:rsidRDefault="005E592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0.02%的托管费，按日计提。</w:t>
            </w:r>
          </w:p>
          <w:p w:rsidR="009F1694" w:rsidRDefault="005E592C">
            <w:pPr>
              <w:spacing w:line="200" w:lineRule="exact"/>
            </w:pPr>
            <w:r>
              <w:rPr>
                <w:rFonts w:cs="宋体"/>
                <w:b/>
                <w:sz w:val="18"/>
                <w:szCs w:val="18"/>
              </w:rPr>
              <w:t>每日计提的托管费=前一日理财产品资产净值×</w:t>
            </w:r>
            <w:proofErr w:type="gramStart"/>
            <w:r>
              <w:rPr>
                <w:rFonts w:cs="宋体"/>
                <w:b/>
                <w:sz w:val="18"/>
                <w:szCs w:val="18"/>
              </w:rPr>
              <w:t>年化托管</w:t>
            </w:r>
            <w:proofErr w:type="gramEnd"/>
            <w:r>
              <w:rPr>
                <w:rFonts w:cs="宋体"/>
                <w:b/>
                <w:sz w:val="18"/>
                <w:szCs w:val="18"/>
              </w:rPr>
              <w:t>费率÷365</w:t>
            </w:r>
          </w:p>
          <w:p w:rsidR="009F1694" w:rsidRDefault="005E592C">
            <w:pPr>
              <w:spacing w:line="200" w:lineRule="exact"/>
            </w:pPr>
            <w:r>
              <w:rPr>
                <w:rFonts w:cs="宋体"/>
                <w:b/>
                <w:sz w:val="18"/>
                <w:szCs w:val="18"/>
              </w:rPr>
              <w:t>业绩报酬：</w:t>
            </w:r>
          </w:p>
          <w:p w:rsidR="009F1694" w:rsidRDefault="005E592C">
            <w:pPr>
              <w:spacing w:line="200" w:lineRule="exact"/>
            </w:pPr>
            <w:r>
              <w:rPr>
                <w:rFonts w:cs="宋体"/>
                <w:b/>
                <w:sz w:val="18"/>
                <w:szCs w:val="18"/>
              </w:rPr>
              <w:t>A份额：到期兑付时，当期产品投资的实际资产组合收益（扣除销售费、固定管理费、托管费等相关费用）超过2.38%（年化，即产品该份额对应的业绩报酬计提基准）时，超过部分管理人将按60%收取业绩报酬。</w:t>
            </w:r>
          </w:p>
          <w:p w:rsidR="009F1694" w:rsidRDefault="005E592C">
            <w:pPr>
              <w:spacing w:line="200" w:lineRule="exact"/>
            </w:pPr>
            <w:r>
              <w:rPr>
                <w:rFonts w:cs="宋体"/>
                <w:b/>
                <w:sz w:val="18"/>
                <w:szCs w:val="18"/>
              </w:rPr>
              <w:t>B份额：到期兑付时，当期产品投资的实际资产组合收益（扣除销售费、固定管理费、托管费等相关费用）超过2.48%（年化，即产品该份额对应的业绩报酬计提基准）时，超过部分管理人将按60%收取业绩报酬。</w:t>
            </w:r>
          </w:p>
          <w:p w:rsidR="009F1694" w:rsidRDefault="005E592C">
            <w:pPr>
              <w:spacing w:line="200" w:lineRule="exact"/>
            </w:pPr>
            <w:r>
              <w:rPr>
                <w:rFonts w:cs="宋体"/>
                <w:b/>
                <w:sz w:val="18"/>
                <w:szCs w:val="18"/>
              </w:rPr>
              <w:t>C份额：到期兑付时，当期产品投资的实际资产组合收益（扣除销售费、固定管理费、托管费等相关费用）超过2.58%（年化，即产品该</w:t>
            </w:r>
            <w:r>
              <w:rPr>
                <w:rFonts w:cs="宋体"/>
                <w:b/>
                <w:sz w:val="18"/>
                <w:szCs w:val="18"/>
              </w:rPr>
              <w:lastRenderedPageBreak/>
              <w:t>份额对应的业绩报酬计提基准）时，超过部分管理人将按60%收取业绩报酬。</w:t>
            </w:r>
          </w:p>
          <w:p w:rsidR="009F1694" w:rsidRDefault="005E592C">
            <w:pPr>
              <w:spacing w:line="200" w:lineRule="exact"/>
            </w:pPr>
            <w:r>
              <w:rPr>
                <w:rFonts w:cs="宋体"/>
                <w:b/>
                <w:sz w:val="18"/>
                <w:szCs w:val="18"/>
              </w:rPr>
              <w:t>D份额：到期兑付时，当期产品投资的实际资产组合收益（扣除销售费、固定管理费、托管费等相关费用）超过2.68%（年化，即产品该份额对应的业绩报酬计提基准）时，超过部分管理人将按60%收取业绩报酬。</w:t>
            </w:r>
          </w:p>
          <w:p w:rsidR="009F1694" w:rsidRDefault="005E592C">
            <w:pPr>
              <w:spacing w:line="200" w:lineRule="exact"/>
            </w:pPr>
            <w:r>
              <w:rPr>
                <w:rFonts w:cs="宋体"/>
                <w:b/>
                <w:sz w:val="18"/>
                <w:szCs w:val="18"/>
              </w:rPr>
              <w:t>L份额：到期兑付时，当期产品投资的实际资产组合收益（扣除销售费、固定管理费、托管费等相关费用）超过2.63%（年化，即产品该份额对应的业绩报酬计提基准）时，超过部分管理人将按60%收取业绩报酬。</w:t>
            </w:r>
          </w:p>
          <w:p w:rsidR="009F1694" w:rsidRDefault="005E592C">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报酬后的净值按照说明书约定向投资者进行披露。理财产品实际的业绩报酬以产品赎回确认或产品实际到期时计提核算的数值为准。</w:t>
            </w:r>
            <w:proofErr w:type="gramStart"/>
            <w:r>
              <w:rPr>
                <w:rFonts w:cs="宋体"/>
                <w:b/>
                <w:sz w:val="18"/>
                <w:szCs w:val="18"/>
              </w:rPr>
              <w:t>暂估业绩</w:t>
            </w:r>
            <w:proofErr w:type="gramEnd"/>
            <w:r>
              <w:rPr>
                <w:rFonts w:cs="宋体"/>
                <w:b/>
                <w:sz w:val="18"/>
                <w:szCs w:val="18"/>
              </w:rPr>
              <w:t>报酬不影响产品的实际收益。</w:t>
            </w:r>
          </w:p>
          <w:p w:rsidR="009F1694" w:rsidRDefault="005E592C">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9F1694" w:rsidRDefault="005E592C">
            <w:pPr>
              <w:spacing w:line="200" w:lineRule="exact"/>
            </w:pPr>
            <w:r>
              <w:rPr>
                <w:rFonts w:cs="宋体"/>
                <w:b/>
                <w:sz w:val="18"/>
                <w:szCs w:val="18"/>
              </w:rPr>
              <w:t>注：1.根据财政部《资产管理产品相关会计处理规定》（财会〔2022〕14号）“将当期发生的管理人报酬计入当期损益”的相关规定，本理财产品将每日</w:t>
            </w:r>
            <w:proofErr w:type="gramStart"/>
            <w:r>
              <w:rPr>
                <w:rFonts w:cs="宋体"/>
                <w:b/>
                <w:sz w:val="18"/>
                <w:szCs w:val="18"/>
              </w:rPr>
              <w:t>计提暂估的</w:t>
            </w:r>
            <w:proofErr w:type="gramEnd"/>
            <w:r>
              <w:rPr>
                <w:rFonts w:cs="宋体"/>
                <w:b/>
                <w:sz w:val="18"/>
                <w:szCs w:val="18"/>
              </w:rPr>
              <w:t>业绩报酬（如有）。</w:t>
            </w:r>
          </w:p>
          <w:p w:rsidR="009F1694" w:rsidRDefault="005E592C">
            <w:pPr>
              <w:spacing w:line="200" w:lineRule="exact"/>
            </w:pPr>
            <w:r>
              <w:rPr>
                <w:rFonts w:cs="宋体"/>
                <w:b/>
                <w:sz w:val="18"/>
                <w:szCs w:val="18"/>
              </w:rPr>
              <w:t>2.产品存续期的每个估值日，如果产品各份额当期起始日至估值日（即本区间）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9F1694" w:rsidRDefault="005E592C">
            <w:pPr>
              <w:spacing w:line="200" w:lineRule="exact"/>
            </w:pPr>
            <w:r>
              <w:rPr>
                <w:rFonts w:cs="宋体"/>
                <w:b/>
                <w:sz w:val="18"/>
                <w:szCs w:val="18"/>
              </w:rPr>
              <w:t>计算本区间业绩报酬的公式如下：</w:t>
            </w:r>
          </w:p>
          <w:p w:rsidR="009F1694" w:rsidRDefault="005E592C">
            <w:pPr>
              <w:spacing w:line="200" w:lineRule="exact"/>
            </w:pPr>
            <w:r>
              <w:rPr>
                <w:rFonts w:cs="宋体"/>
                <w:b/>
                <w:sz w:val="18"/>
                <w:szCs w:val="18"/>
              </w:rPr>
              <w:t>A={B-C*D*(1+E*F/365)}*G。</w:t>
            </w:r>
          </w:p>
          <w:p w:rsidR="009F1694" w:rsidRDefault="005E592C">
            <w:pPr>
              <w:spacing w:line="200" w:lineRule="exact"/>
            </w:pPr>
            <w:r>
              <w:rPr>
                <w:rFonts w:cs="宋体"/>
                <w:b/>
                <w:sz w:val="18"/>
                <w:szCs w:val="18"/>
              </w:rPr>
              <w:t>其中：A是产品该份额从当期起始日到估值日应计提的业绩报酬金额，B是产品该份额估值日当日未扣除业绩报酬前的资产净值，C是产品该份额当期起始日的产品份额，D是产品该份额当期</w:t>
            </w:r>
            <w:proofErr w:type="gramStart"/>
            <w:r>
              <w:rPr>
                <w:rFonts w:cs="宋体"/>
                <w:b/>
                <w:sz w:val="18"/>
                <w:szCs w:val="18"/>
              </w:rPr>
              <w:t>起始日前</w:t>
            </w:r>
            <w:proofErr w:type="gramEnd"/>
            <w:r>
              <w:rPr>
                <w:rFonts w:cs="宋体"/>
                <w:b/>
                <w:sz w:val="18"/>
                <w:szCs w:val="18"/>
              </w:rPr>
              <w:t>一自然日的单位净值，E是产品该份额当期的业绩报酬计提基准，F是产品该份额当期起始日（含）到估值日（含）的天数，G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9F1694">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具体详见本理财产品风险揭示书。</w:t>
            </w:r>
          </w:p>
        </w:tc>
      </w:tr>
      <w:tr w:rsidR="009F1694">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9F1694" w:rsidRDefault="005E592C">
            <w:pPr>
              <w:spacing w:line="200" w:lineRule="exact"/>
              <w:jc w:val="left"/>
            </w:pPr>
            <w:r>
              <w:rPr>
                <w:rFonts w:cs="宋体"/>
                <w:color w:val="000000"/>
                <w:sz w:val="18"/>
                <w:szCs w:val="18"/>
              </w:rPr>
              <w:t>1.按照法律法规、监管规定及理财产品销售文件的约定，发行并管理理财产品；</w:t>
            </w:r>
          </w:p>
          <w:p w:rsidR="009F1694" w:rsidRDefault="005E592C">
            <w:pPr>
              <w:spacing w:line="200" w:lineRule="exact"/>
              <w:jc w:val="left"/>
            </w:pPr>
            <w:r>
              <w:rPr>
                <w:rFonts w:cs="宋体"/>
                <w:color w:val="000000"/>
                <w:sz w:val="18"/>
                <w:szCs w:val="18"/>
              </w:rPr>
              <w:t>2.根据理财产品的投资组合、同类产品过往业绩和风险状况等因素，对理财产品进行评级；</w:t>
            </w:r>
          </w:p>
          <w:p w:rsidR="009F1694" w:rsidRDefault="005E592C">
            <w:pPr>
              <w:spacing w:line="200" w:lineRule="exact"/>
              <w:jc w:val="left"/>
            </w:pPr>
            <w:r>
              <w:rPr>
                <w:rFonts w:cs="宋体"/>
                <w:color w:val="000000"/>
                <w:sz w:val="18"/>
                <w:szCs w:val="18"/>
              </w:rPr>
              <w:t>3.按照法律法规、监管规定及与投资者约定的信息披露渠道及时披露理财产品相关信息；</w:t>
            </w:r>
          </w:p>
          <w:p w:rsidR="009F1694" w:rsidRDefault="005E592C">
            <w:pPr>
              <w:spacing w:line="200" w:lineRule="exact"/>
              <w:jc w:val="left"/>
            </w:pPr>
            <w:r>
              <w:rPr>
                <w:rFonts w:cs="宋体"/>
                <w:color w:val="000000"/>
                <w:sz w:val="18"/>
                <w:szCs w:val="18"/>
              </w:rPr>
              <w:t>4.按照理财产品销售文件约定的投资范围和权限，负责理财产品资金的运用和管理，向投资者进行收益分配；</w:t>
            </w:r>
          </w:p>
          <w:p w:rsidR="009F1694" w:rsidRDefault="005E592C">
            <w:pPr>
              <w:spacing w:line="200" w:lineRule="exact"/>
              <w:jc w:val="left"/>
            </w:pPr>
            <w:r>
              <w:rPr>
                <w:rFonts w:cs="宋体"/>
                <w:color w:val="000000"/>
                <w:sz w:val="18"/>
                <w:szCs w:val="18"/>
              </w:rPr>
              <w:t>5.审慎选择理财产品销售机构，切实履行对销售机构的管理责任；</w:t>
            </w:r>
          </w:p>
          <w:p w:rsidR="009F1694" w:rsidRDefault="005E592C">
            <w:pPr>
              <w:spacing w:line="200" w:lineRule="exact"/>
              <w:jc w:val="left"/>
            </w:pPr>
            <w:r>
              <w:rPr>
                <w:rFonts w:cs="宋体"/>
                <w:color w:val="000000"/>
                <w:sz w:val="18"/>
                <w:szCs w:val="18"/>
              </w:rPr>
              <w:t>6.根据法律法规、监管规定建立健全投资者权益保护管理体系；</w:t>
            </w:r>
          </w:p>
          <w:p w:rsidR="009F1694" w:rsidRDefault="005E592C">
            <w:pPr>
              <w:spacing w:line="200" w:lineRule="exact"/>
              <w:jc w:val="left"/>
            </w:pPr>
            <w:r>
              <w:rPr>
                <w:rFonts w:cs="宋体"/>
                <w:color w:val="000000"/>
                <w:sz w:val="18"/>
                <w:szCs w:val="18"/>
              </w:rPr>
              <w:t>7.国务院银行业监督管理机构规定及本理财产品销售文件中约定的其他职责。</w:t>
            </w:r>
          </w:p>
        </w:tc>
      </w:tr>
      <w:tr w:rsidR="009F1694">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sz w:val="18"/>
                <w:szCs w:val="18"/>
              </w:rPr>
              <w:t>本理财产品销售机构为南银理财有限责任公司、南京银行股份有限公司、兴业银行股份有限公司、青岛银行股份有限公司、杭州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银行股份有限公司、温州银行股份有限公司、湖南银行股份有限公司、江苏金湖农村商业银行股份有限公司、苏州银行股份有限公司、蒙商银行股份有限公司、桂林银行股份有限公司、富邦华</w:t>
            </w:r>
            <w:proofErr w:type="gramStart"/>
            <w:r>
              <w:rPr>
                <w:rFonts w:cs="宋体"/>
                <w:sz w:val="18"/>
                <w:szCs w:val="18"/>
              </w:rPr>
              <w:t>一</w:t>
            </w:r>
            <w:proofErr w:type="gramEnd"/>
            <w:r>
              <w:rPr>
                <w:rFonts w:cs="宋体"/>
                <w:sz w:val="18"/>
                <w:szCs w:val="18"/>
              </w:rPr>
              <w:t>银行有限公司、宁波通商银行股份有限公司、日照银行股份有限公司、广州银行股份有限公司、石嘴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w:t>
            </w:r>
            <w:r>
              <w:rPr>
                <w:rFonts w:cs="宋体"/>
                <w:sz w:val="18"/>
                <w:szCs w:val="18"/>
              </w:rPr>
              <w:lastRenderedPageBreak/>
              <w:t>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东海农村商业银行股份有限公司、江苏高邮农村商业银行股份有限公司、乌鲁木齐银行股份有限公司、河北银行股份有限公司、江苏姜堰农村商业银行股份有限公司、山西银行股份有限公司、江苏如东农村商业银行股份有限公司、北京银行股份有限公司、兰州银行股份有限公司、江苏沛县农村商业银行股份有限公司、潍坊银行股份有限公司、交通银行股份有限公司、甘肃银行股份有限公司、浙江民泰商业银行股份有限公司、江苏仪征农村商业银行股份有限公司、金华银行股份有限公司、湖北银行股份有限公司、连云港东方农村商业银行股份有限公司、德州银行股份有限公司、四川天府银行股份有限公司。管理人有权调整本理财产品的销售机构并进行信息披露。</w:t>
            </w:r>
          </w:p>
          <w:p w:rsidR="009F1694" w:rsidRDefault="005E592C">
            <w:pPr>
              <w:spacing w:line="200" w:lineRule="exact"/>
              <w:jc w:val="left"/>
            </w:pPr>
            <w:r>
              <w:rPr>
                <w:rFonts w:cs="宋体"/>
                <w:sz w:val="18"/>
                <w:szCs w:val="18"/>
              </w:rPr>
              <w:t>销售机构主要职责如下：</w:t>
            </w:r>
          </w:p>
          <w:p w:rsidR="009F1694" w:rsidRDefault="005E592C">
            <w:pPr>
              <w:spacing w:line="200" w:lineRule="exact"/>
              <w:jc w:val="left"/>
            </w:pPr>
            <w:r>
              <w:rPr>
                <w:rFonts w:cs="宋体"/>
                <w:sz w:val="18"/>
                <w:szCs w:val="18"/>
              </w:rPr>
              <w:t>1.按照法律法规、监管规定及理财产品销售文件的约定，开展理财产品销售活动，向投资者充分披露信息和揭示风险；</w:t>
            </w:r>
          </w:p>
          <w:p w:rsidR="009F1694" w:rsidRDefault="005E592C">
            <w:pPr>
              <w:spacing w:line="200" w:lineRule="exact"/>
              <w:jc w:val="left"/>
            </w:pPr>
            <w:r>
              <w:rPr>
                <w:rFonts w:cs="宋体"/>
                <w:sz w:val="18"/>
                <w:szCs w:val="18"/>
              </w:rPr>
              <w:t>2.对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9F1694" w:rsidRDefault="005E592C">
            <w:pPr>
              <w:spacing w:line="200" w:lineRule="exact"/>
              <w:jc w:val="left"/>
            </w:pPr>
            <w:r>
              <w:rPr>
                <w:rFonts w:cs="宋体"/>
                <w:sz w:val="18"/>
                <w:szCs w:val="18"/>
              </w:rPr>
              <w:t>3.妥善保管投资者理财产品销售相关资料，保管年限不低于20年；</w:t>
            </w:r>
          </w:p>
          <w:p w:rsidR="009F1694" w:rsidRDefault="005E592C">
            <w:pPr>
              <w:spacing w:line="200" w:lineRule="exact"/>
              <w:jc w:val="left"/>
            </w:pPr>
            <w:r>
              <w:rPr>
                <w:rFonts w:cs="宋体"/>
                <w:sz w:val="18"/>
                <w:szCs w:val="18"/>
              </w:rPr>
              <w:t>4.根据反洗钱、反恐怖融资及非居民金融账户涉税信息尽职调查等相关法律法规要求识别客户身份；</w:t>
            </w:r>
          </w:p>
          <w:p w:rsidR="009F1694" w:rsidRDefault="005E592C">
            <w:pPr>
              <w:spacing w:line="200" w:lineRule="exact"/>
              <w:jc w:val="left"/>
            </w:pPr>
            <w:r>
              <w:rPr>
                <w:rFonts w:cs="宋体"/>
                <w:sz w:val="18"/>
                <w:szCs w:val="18"/>
              </w:rPr>
              <w:t>5.建立健全投资者权益保护管理体系，加强投资者适当性管理；</w:t>
            </w:r>
          </w:p>
          <w:p w:rsidR="009F1694" w:rsidRDefault="005E592C">
            <w:pPr>
              <w:spacing w:line="200" w:lineRule="exact"/>
            </w:pPr>
            <w:r>
              <w:rPr>
                <w:rFonts w:cs="宋体"/>
                <w:sz w:val="18"/>
                <w:szCs w:val="18"/>
              </w:rPr>
              <w:t>6.国务院银行业监督管理机构规定及本理财产品管理人与销售机构约定的其他职责。</w:t>
            </w:r>
          </w:p>
        </w:tc>
      </w:tr>
      <w:tr w:rsidR="009F1694">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lastRenderedPageBreak/>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本理财产品托管人为南京银行股份有限公司，主要职责如下：</w:t>
            </w:r>
          </w:p>
          <w:p w:rsidR="009F1694" w:rsidRDefault="005E592C">
            <w:pPr>
              <w:spacing w:line="200" w:lineRule="exact"/>
            </w:pPr>
            <w:r>
              <w:rPr>
                <w:rFonts w:cs="宋体"/>
                <w:sz w:val="18"/>
                <w:szCs w:val="18"/>
              </w:rPr>
              <w:t>1.安全保管理财产品财产；</w:t>
            </w:r>
          </w:p>
          <w:p w:rsidR="009F1694" w:rsidRDefault="005E592C">
            <w:pPr>
              <w:spacing w:line="200" w:lineRule="exact"/>
            </w:pPr>
            <w:r>
              <w:rPr>
                <w:rFonts w:cs="宋体"/>
                <w:sz w:val="18"/>
                <w:szCs w:val="18"/>
              </w:rPr>
              <w:t>2.为每只理财产品开设独立的托管账户，不同托管账户中的资产应当相互独立；</w:t>
            </w:r>
          </w:p>
          <w:p w:rsidR="009F1694" w:rsidRDefault="005E592C">
            <w:pPr>
              <w:spacing w:line="200" w:lineRule="exact"/>
            </w:pPr>
            <w:r>
              <w:rPr>
                <w:rFonts w:cs="宋体"/>
                <w:sz w:val="18"/>
                <w:szCs w:val="18"/>
              </w:rPr>
              <w:t>3.按照托管协议约定和管理人的投资指令，及时办理清算、交割事宜；</w:t>
            </w:r>
          </w:p>
          <w:p w:rsidR="009F1694" w:rsidRDefault="005E592C">
            <w:pPr>
              <w:spacing w:line="200" w:lineRule="exact"/>
            </w:pPr>
            <w:r>
              <w:rPr>
                <w:rFonts w:cs="宋体"/>
                <w:sz w:val="18"/>
                <w:szCs w:val="18"/>
              </w:rPr>
              <w:t>4.建立与管理人的对账机制，复核、审查理财产品资金头寸、资产账目、资产净值、认购和赎回价格等数据，及时核查认购、赎回以及投资资金的支付和到账情况；</w:t>
            </w:r>
          </w:p>
          <w:p w:rsidR="009F1694" w:rsidRDefault="005E592C">
            <w:pPr>
              <w:spacing w:line="200" w:lineRule="exact"/>
            </w:pPr>
            <w:r>
              <w:rPr>
                <w:rFonts w:cs="宋体"/>
                <w:sz w:val="18"/>
                <w:szCs w:val="18"/>
              </w:rPr>
              <w:t>5.监督理财产品投资运作，发现理财产品违反法律、行政法规、规章规定或合同约定进行投资的，应当拒绝执行，及时通知管理人并报告银行业监督管理机构；</w:t>
            </w:r>
          </w:p>
          <w:p w:rsidR="009F1694" w:rsidRDefault="005E592C">
            <w:pPr>
              <w:spacing w:line="200" w:lineRule="exact"/>
            </w:pPr>
            <w:r>
              <w:rPr>
                <w:rFonts w:cs="宋体"/>
                <w:sz w:val="18"/>
                <w:szCs w:val="18"/>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9F1694" w:rsidRDefault="005E592C">
            <w:pPr>
              <w:spacing w:line="200" w:lineRule="exact"/>
            </w:pPr>
            <w:r>
              <w:rPr>
                <w:rFonts w:cs="宋体"/>
                <w:sz w:val="18"/>
                <w:szCs w:val="18"/>
              </w:rPr>
              <w:t>7.理财托管业务活动的记录、账册、报表和其他相关资料保存20年以上；</w:t>
            </w:r>
          </w:p>
          <w:p w:rsidR="009F1694" w:rsidRDefault="005E592C">
            <w:pPr>
              <w:spacing w:line="200" w:lineRule="exact"/>
            </w:pPr>
            <w:r>
              <w:rPr>
                <w:rFonts w:cs="宋体"/>
                <w:sz w:val="18"/>
                <w:szCs w:val="18"/>
              </w:rPr>
              <w:t>8.对理财产品投资信息和相关资料承担保密责任，除法律、行政法规、规章规定、审计要求或者合同约定外，不得向任何机构或者个人提供相关信息和资料；</w:t>
            </w:r>
          </w:p>
          <w:p w:rsidR="009F1694" w:rsidRDefault="005E592C">
            <w:pPr>
              <w:spacing w:line="200" w:lineRule="exact"/>
            </w:pPr>
            <w:r>
              <w:rPr>
                <w:rFonts w:cs="宋体"/>
                <w:sz w:val="18"/>
                <w:szCs w:val="18"/>
              </w:rPr>
              <w:t>9.国务院银行业监督管理机构规定及本理财产品相关托管协议中约定的其他职责。</w:t>
            </w:r>
          </w:p>
        </w:tc>
      </w:tr>
      <w:tr w:rsidR="009F1694">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管理有限公司、中粮信托有限责任公司、</w:t>
            </w:r>
            <w:proofErr w:type="gramStart"/>
            <w:r>
              <w:rPr>
                <w:rFonts w:cs="宋体"/>
                <w:sz w:val="18"/>
                <w:szCs w:val="18"/>
              </w:rPr>
              <w:t>鑫元基金</w:t>
            </w:r>
            <w:proofErr w:type="gramEnd"/>
            <w:r>
              <w:rPr>
                <w:rFonts w:cs="宋体"/>
                <w:sz w:val="18"/>
                <w:szCs w:val="18"/>
              </w:rPr>
              <w:t>管理有限公司，上述投资合作机构主要职责对应如下，具体职责以管理人与投资合作机构签署的合同为准。</w:t>
            </w:r>
          </w:p>
          <w:p w:rsidR="009F1694" w:rsidRDefault="005E592C">
            <w:pPr>
              <w:spacing w:line="200" w:lineRule="exact"/>
            </w:pPr>
            <w:r>
              <w:rPr>
                <w:rFonts w:cs="宋体"/>
                <w:sz w:val="18"/>
                <w:szCs w:val="18"/>
              </w:rPr>
              <w:t>1.合作机构为理财产品所投资资产管理产品的发行机构，主要承担资产管理产品的管理人职责：平安资产管理有限责任公司、太平洋资产管理有限责任公司、太平资产管理有限公司、中国人</w:t>
            </w:r>
            <w:proofErr w:type="gramStart"/>
            <w:r>
              <w:rPr>
                <w:rFonts w:cs="宋体"/>
                <w:sz w:val="18"/>
                <w:szCs w:val="18"/>
              </w:rPr>
              <w:t>保资产</w:t>
            </w:r>
            <w:proofErr w:type="gramEnd"/>
            <w:r>
              <w:rPr>
                <w:rFonts w:cs="宋体"/>
                <w:sz w:val="18"/>
                <w:szCs w:val="18"/>
              </w:rPr>
              <w:t>管理有限公司。</w:t>
            </w:r>
          </w:p>
          <w:p w:rsidR="009F1694" w:rsidRDefault="005E592C">
            <w:pPr>
              <w:spacing w:line="200" w:lineRule="exact"/>
            </w:pPr>
            <w:r>
              <w:rPr>
                <w:rFonts w:cs="宋体"/>
                <w:sz w:val="18"/>
                <w:szCs w:val="18"/>
              </w:rPr>
              <w:t>2.合作机构为从事理财产品受托投资的机构，主要承担根据合同约定进行受托资金的投资管理的职责：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w:t>
            </w:r>
            <w:proofErr w:type="gramStart"/>
            <w:r>
              <w:rPr>
                <w:rFonts w:cs="宋体"/>
                <w:sz w:val="18"/>
                <w:szCs w:val="18"/>
              </w:rPr>
              <w:t>国投泰康</w:t>
            </w:r>
            <w:proofErr w:type="gramEnd"/>
            <w:r>
              <w:rPr>
                <w:rFonts w:cs="宋体"/>
                <w:sz w:val="18"/>
                <w:szCs w:val="18"/>
              </w:rPr>
              <w:t>信托有限公司、华能贵诚信托有限公司、华鑫国际信托有限公司、建信保险资产管理有限公司、江苏省国际信托有限责任公司、交银国际信托有限公司、中粮信托有限责任公司、</w:t>
            </w:r>
            <w:proofErr w:type="gramStart"/>
            <w:r>
              <w:rPr>
                <w:rFonts w:cs="宋体"/>
                <w:sz w:val="18"/>
                <w:szCs w:val="18"/>
              </w:rPr>
              <w:t>鑫元基金</w:t>
            </w:r>
            <w:proofErr w:type="gramEnd"/>
            <w:r>
              <w:rPr>
                <w:rFonts w:cs="宋体"/>
                <w:sz w:val="18"/>
                <w:szCs w:val="18"/>
              </w:rPr>
              <w:t>管理有限公司。</w:t>
            </w:r>
          </w:p>
          <w:p w:rsidR="009F1694" w:rsidRDefault="005E592C">
            <w:pPr>
              <w:spacing w:line="200" w:lineRule="exact"/>
            </w:pPr>
            <w:r>
              <w:rPr>
                <w:rFonts w:cs="宋体"/>
                <w:sz w:val="18"/>
                <w:szCs w:val="18"/>
              </w:rPr>
              <w:lastRenderedPageBreak/>
              <w:t>若上述合作机构及其职责发生调整，管理人将在本理财产品的定期报告中进行信息披露。</w:t>
            </w:r>
          </w:p>
          <w:p w:rsidR="009F1694" w:rsidRDefault="005E592C">
            <w:pPr>
              <w:spacing w:line="200" w:lineRule="exact"/>
            </w:pPr>
            <w:r>
              <w:rPr>
                <w:rFonts w:cs="宋体"/>
                <w:sz w:val="18"/>
                <w:szCs w:val="18"/>
              </w:rPr>
              <w:t>上述投资合作机构简介：</w:t>
            </w:r>
          </w:p>
          <w:p w:rsidR="009F1694" w:rsidRDefault="005E592C">
            <w:pPr>
              <w:spacing w:line="200" w:lineRule="exact"/>
            </w:pPr>
            <w:proofErr w:type="gramStart"/>
            <w:r>
              <w:rPr>
                <w:rFonts w:cs="宋体"/>
                <w:sz w:val="18"/>
                <w:szCs w:val="18"/>
              </w:rPr>
              <w:t>百瑞信托</w:t>
            </w:r>
            <w:proofErr w:type="gramEnd"/>
            <w:r>
              <w:rPr>
                <w:rFonts w:cs="宋体"/>
                <w:sz w:val="18"/>
                <w:szCs w:val="18"/>
              </w:rPr>
              <w:t>有限责任公司成立于2002年10月16日，注册资本金400000万元人民币。</w:t>
            </w:r>
          </w:p>
          <w:p w:rsidR="009F1694" w:rsidRDefault="005E592C">
            <w:pPr>
              <w:spacing w:line="200" w:lineRule="exact"/>
            </w:pPr>
            <w:r>
              <w:rPr>
                <w:rFonts w:cs="宋体"/>
                <w:sz w:val="18"/>
                <w:szCs w:val="18"/>
              </w:rPr>
              <w:t>大家资产管理有限责任公司成立于2011年05月20日，注册资本金6亿元人民币。</w:t>
            </w:r>
          </w:p>
          <w:p w:rsidR="009F1694" w:rsidRDefault="005E592C">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管理股份有限公司成立于2012年03月02日，注册资本金5亿元。</w:t>
            </w:r>
          </w:p>
          <w:p w:rsidR="009F1694" w:rsidRDefault="005E592C">
            <w:pPr>
              <w:spacing w:line="200" w:lineRule="exact"/>
            </w:pPr>
            <w:r>
              <w:rPr>
                <w:rFonts w:cs="宋体"/>
                <w:sz w:val="18"/>
                <w:szCs w:val="18"/>
              </w:rPr>
              <w:t>国联基金管理有限公司成立于2013年05月31日，注册资本金11.5亿元。</w:t>
            </w:r>
          </w:p>
          <w:p w:rsidR="009F1694" w:rsidRDefault="005E592C">
            <w:pPr>
              <w:spacing w:line="200" w:lineRule="exact"/>
            </w:pPr>
            <w:proofErr w:type="gramStart"/>
            <w:r>
              <w:rPr>
                <w:rFonts w:cs="宋体"/>
                <w:sz w:val="18"/>
                <w:szCs w:val="18"/>
              </w:rPr>
              <w:t>国投泰康</w:t>
            </w:r>
            <w:proofErr w:type="gramEnd"/>
            <w:r>
              <w:rPr>
                <w:rFonts w:cs="宋体"/>
                <w:sz w:val="18"/>
                <w:szCs w:val="18"/>
              </w:rPr>
              <w:t>信托有限公司成立于1986年06月26日，注册资本金267,054.5454万人民币。</w:t>
            </w:r>
          </w:p>
          <w:p w:rsidR="009F1694" w:rsidRDefault="005E592C">
            <w:pPr>
              <w:spacing w:line="200" w:lineRule="exact"/>
            </w:pPr>
            <w:r>
              <w:rPr>
                <w:rFonts w:cs="宋体"/>
                <w:sz w:val="18"/>
                <w:szCs w:val="18"/>
              </w:rPr>
              <w:t>华能贵诚信托有限公司成立于2002年09月29日，注册资本金619,455.7406万元人民币。</w:t>
            </w:r>
          </w:p>
          <w:p w:rsidR="009F1694" w:rsidRDefault="005E592C">
            <w:pPr>
              <w:spacing w:line="200" w:lineRule="exact"/>
            </w:pPr>
            <w:r>
              <w:rPr>
                <w:rFonts w:cs="宋体"/>
                <w:sz w:val="18"/>
                <w:szCs w:val="18"/>
              </w:rPr>
              <w:t>华鑫国际信托有限公司成立于1984年06月01日，注册资本金73.95亿元。</w:t>
            </w:r>
          </w:p>
          <w:p w:rsidR="009F1694" w:rsidRDefault="005E592C">
            <w:pPr>
              <w:spacing w:line="200" w:lineRule="exact"/>
            </w:pPr>
            <w:r>
              <w:rPr>
                <w:rFonts w:cs="宋体"/>
                <w:sz w:val="18"/>
                <w:szCs w:val="18"/>
              </w:rPr>
              <w:t>建信保险资产管理有限公司成立于2016年04月27日，注册资本金3亿元。</w:t>
            </w:r>
          </w:p>
          <w:p w:rsidR="009F1694" w:rsidRDefault="005E592C">
            <w:pPr>
              <w:spacing w:line="200" w:lineRule="exact"/>
            </w:pPr>
            <w:r>
              <w:rPr>
                <w:rFonts w:cs="宋体"/>
                <w:sz w:val="18"/>
                <w:szCs w:val="18"/>
              </w:rPr>
              <w:t>江苏省国际信托有限责任公司成立于1992年06月01日，注册资本金87.60亿元。</w:t>
            </w:r>
          </w:p>
          <w:p w:rsidR="009F1694" w:rsidRDefault="005E592C">
            <w:pPr>
              <w:spacing w:line="200" w:lineRule="exact"/>
            </w:pPr>
            <w:r>
              <w:rPr>
                <w:rFonts w:cs="宋体"/>
                <w:sz w:val="18"/>
                <w:szCs w:val="18"/>
              </w:rPr>
              <w:t>交银国际信托有限公司成立于1983年11月23日，注册资本金57.65亿元。</w:t>
            </w:r>
          </w:p>
          <w:p w:rsidR="009F1694" w:rsidRDefault="005E592C">
            <w:pPr>
              <w:spacing w:line="200" w:lineRule="exact"/>
            </w:pPr>
            <w:r>
              <w:rPr>
                <w:rFonts w:cs="宋体"/>
                <w:sz w:val="18"/>
                <w:szCs w:val="18"/>
              </w:rPr>
              <w:t>平安资产管理有限责任公司成立于2005年05月27日，注册资本金15亿元。</w:t>
            </w:r>
          </w:p>
          <w:p w:rsidR="009F1694" w:rsidRDefault="005E592C">
            <w:pPr>
              <w:spacing w:line="200" w:lineRule="exact"/>
            </w:pPr>
            <w:r>
              <w:rPr>
                <w:rFonts w:cs="宋体"/>
                <w:sz w:val="18"/>
                <w:szCs w:val="18"/>
              </w:rPr>
              <w:t>太平洋资产管理有限责任公司成立于2006年06月09日，注册资本金21亿元。</w:t>
            </w:r>
          </w:p>
          <w:p w:rsidR="009F1694" w:rsidRDefault="005E592C">
            <w:pPr>
              <w:spacing w:line="200" w:lineRule="exact"/>
            </w:pPr>
            <w:r>
              <w:rPr>
                <w:rFonts w:cs="宋体"/>
                <w:sz w:val="18"/>
                <w:szCs w:val="18"/>
              </w:rPr>
              <w:t>太平资产管理有限公司成立于2006年09月01日，注册资本金10亿元。</w:t>
            </w:r>
          </w:p>
          <w:p w:rsidR="009F1694" w:rsidRDefault="005E592C">
            <w:pPr>
              <w:spacing w:line="200" w:lineRule="exact"/>
            </w:pPr>
            <w:r>
              <w:rPr>
                <w:rFonts w:cs="宋体"/>
                <w:sz w:val="18"/>
                <w:szCs w:val="18"/>
              </w:rPr>
              <w:t>中国人</w:t>
            </w:r>
            <w:proofErr w:type="gramStart"/>
            <w:r>
              <w:rPr>
                <w:rFonts w:cs="宋体"/>
                <w:sz w:val="18"/>
                <w:szCs w:val="18"/>
              </w:rPr>
              <w:t>保资产</w:t>
            </w:r>
            <w:proofErr w:type="gramEnd"/>
            <w:r>
              <w:rPr>
                <w:rFonts w:cs="宋体"/>
                <w:sz w:val="18"/>
                <w:szCs w:val="18"/>
              </w:rPr>
              <w:t>管理有限公司成立于2003年07月16日，注册资本金12.98亿元。</w:t>
            </w:r>
          </w:p>
          <w:p w:rsidR="009F1694" w:rsidRDefault="005E592C">
            <w:pPr>
              <w:spacing w:line="200" w:lineRule="exact"/>
            </w:pPr>
            <w:r>
              <w:rPr>
                <w:rFonts w:cs="宋体"/>
                <w:sz w:val="18"/>
                <w:szCs w:val="18"/>
              </w:rPr>
              <w:t>中粮信托有限责任公司成立于2009年07月27日，注册资本金28.3亿元。</w:t>
            </w:r>
          </w:p>
          <w:p w:rsidR="009F1694" w:rsidRDefault="005E592C">
            <w:pPr>
              <w:spacing w:line="200" w:lineRule="exact"/>
            </w:pPr>
            <w:proofErr w:type="gramStart"/>
            <w:r>
              <w:rPr>
                <w:rFonts w:cs="宋体"/>
                <w:sz w:val="18"/>
                <w:szCs w:val="18"/>
              </w:rPr>
              <w:t>鑫元基金</w:t>
            </w:r>
            <w:proofErr w:type="gramEnd"/>
            <w:r>
              <w:rPr>
                <w:rFonts w:cs="宋体"/>
                <w:sz w:val="18"/>
                <w:szCs w:val="18"/>
              </w:rPr>
              <w:t>管理有限公司成立于2013年08月29日，注册资本金17亿元。</w:t>
            </w:r>
          </w:p>
        </w:tc>
      </w:tr>
      <w:tr w:rsidR="009F1694">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lastRenderedPageBreak/>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jc w:val="left"/>
            </w:pPr>
            <w:r>
              <w:rPr>
                <w:rFonts w:cs="宋体"/>
                <w:color w:val="000000"/>
                <w:sz w:val="18"/>
                <w:szCs w:val="18"/>
              </w:rPr>
              <w:t>1.本理财产品为封闭式产品，在封闭期内不开放申购/赎回，投资者应考虑产品期限并合理安排自身投资计划。</w:t>
            </w:r>
          </w:p>
          <w:p w:rsidR="009F1694" w:rsidRDefault="005E592C">
            <w:pPr>
              <w:spacing w:line="200" w:lineRule="exact"/>
              <w:jc w:val="left"/>
            </w:pPr>
            <w:r>
              <w:rPr>
                <w:rFonts w:cs="宋体"/>
                <w:color w:val="000000"/>
                <w:sz w:val="18"/>
                <w:szCs w:val="18"/>
              </w:rPr>
              <w:t>2.管理人在本理财产品存续期间按照监管规定进行信息披露，详见本理财产品说明书第五条信息披露。</w:t>
            </w:r>
          </w:p>
          <w:p w:rsidR="009F1694" w:rsidRDefault="005E592C">
            <w:pPr>
              <w:spacing w:line="200" w:lineRule="exact"/>
              <w:jc w:val="left"/>
            </w:pPr>
            <w:r>
              <w:rPr>
                <w:rFonts w:cs="宋体"/>
                <w:color w:val="000000"/>
                <w:sz w:val="18"/>
                <w:szCs w:val="18"/>
              </w:rPr>
              <w:t>3.本理财产品投资的资产管理产品的业绩报酬、赎回费等的提取（如有）可能造成本理财产品净值的下降。</w:t>
            </w:r>
          </w:p>
          <w:p w:rsidR="009F1694" w:rsidRDefault="005E592C">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本理财产品计划投资不存在活跃交易市场，并且需要采用估值技术确定公允价值的资产；计划投资上述资产的比例达到理财产品净资产50％以上。</w:t>
            </w:r>
          </w:p>
        </w:tc>
      </w:tr>
      <w:tr w:rsidR="009F1694">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9F1694" w:rsidRDefault="005E592C">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9F1694" w:rsidRDefault="005E592C">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9F1694" w:rsidRDefault="005E592C">
      <w:pPr>
        <w:pStyle w:val="Normal79ca7f08"/>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9F1694" w:rsidRDefault="005E592C">
      <w:pPr>
        <w:pStyle w:val="Normalb383aa26b383aa26"/>
        <w:widowControl/>
        <w:spacing w:line="200" w:lineRule="exact"/>
        <w:outlineLvl w:val="0"/>
        <w:rPr>
          <w:b/>
          <w:bCs/>
          <w:color w:val="3D3D3D"/>
          <w:kern w:val="0"/>
          <w:sz w:val="15"/>
          <w:szCs w:val="15"/>
        </w:rPr>
      </w:pPr>
      <w:r>
        <w:rPr>
          <w:rFonts w:hint="eastAsia"/>
          <w:b/>
          <w:bCs/>
          <w:color w:val="3D3D3D"/>
          <w:kern w:val="0"/>
          <w:sz w:val="15"/>
          <w:szCs w:val="15"/>
        </w:rPr>
        <w:t>第二条  名词释义</w:t>
      </w:r>
    </w:p>
    <w:p w:rsidR="009F1694" w:rsidRDefault="005E592C">
      <w:pPr>
        <w:pStyle w:val="Normalb383aa26b383aa26"/>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9F1694" w:rsidRDefault="005E592C">
      <w:pPr>
        <w:pStyle w:val="Normalb383aa26b383aa2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1.南银理财/管理人/</w:t>
      </w:r>
      <w:r>
        <w:rPr>
          <w:rFonts w:hint="eastAsia"/>
          <w:color w:val="3D3D3D"/>
          <w:kern w:val="0"/>
          <w:sz w:val="15"/>
          <w:szCs w:val="15"/>
        </w:rPr>
        <w:t>产品管理人/</w:t>
      </w:r>
      <w:r>
        <w:rPr>
          <w:color w:val="3D3D3D"/>
          <w:kern w:val="0"/>
          <w:sz w:val="15"/>
          <w:szCs w:val="15"/>
        </w:rPr>
        <w:t>理财产品管理人：指南银理财有限责任公司。</w:t>
      </w:r>
    </w:p>
    <w:p w:rsidR="009F1694" w:rsidRDefault="005E592C">
      <w:pPr>
        <w:pStyle w:val="Normalb383aa26b383aa26"/>
        <w:widowControl/>
        <w:tabs>
          <w:tab w:val="left" w:pos="567"/>
        </w:tabs>
        <w:spacing w:line="200" w:lineRule="exact"/>
        <w:outlineLvl w:val="1"/>
        <w:rPr>
          <w:color w:val="3D3D3D"/>
          <w:kern w:val="0"/>
          <w:sz w:val="15"/>
          <w:szCs w:val="15"/>
        </w:rPr>
      </w:pPr>
      <w:r>
        <w:rPr>
          <w:rFonts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3.托管人：</w:t>
      </w:r>
      <w:r>
        <w:rPr>
          <w:rFonts w:hint="eastAsia"/>
          <w:color w:val="3D3D3D"/>
          <w:kern w:val="0"/>
          <w:sz w:val="15"/>
          <w:szCs w:val="15"/>
        </w:rPr>
        <w:t>指根据管理人委托，对理财产品财产进行托管的机构</w:t>
      </w:r>
      <w:r>
        <w:rPr>
          <w:color w:val="3D3D3D"/>
          <w:kern w:val="0"/>
          <w:sz w:val="15"/>
          <w:szCs w:val="15"/>
        </w:rPr>
        <w:t>。</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4.认购</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/申购</w:t>
      </w:r>
      <w:r>
        <w:rPr>
          <w:color w:val="3D3D3D"/>
          <w:kern w:val="0"/>
          <w:sz w:val="15"/>
          <w:szCs w:val="15"/>
        </w:rPr>
        <w:t>资金的投资者。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5.理财产品份额持有人/持有人：指其认购或申购申请，经过管理人确认认购或申购成功，从而持有理财产品份额的投资者。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6.投资者：指购买南银理财发行的相关理财产品的符合相关法律法规及监管要求的个人或机构。</w:t>
      </w:r>
    </w:p>
    <w:p w:rsidR="009F1694" w:rsidRDefault="005E592C">
      <w:pPr>
        <w:pStyle w:val="Normalb383aa26b383aa2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1.销售协议书：指本理财产品对应的《理财产品销售协议书》以及对该文件的有效修改或补充。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2.产品说明书/本理财产品说明书：指本《理财产品说明书》以及对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3.风险揭示书：指本理财产品对应的《理财产品风险揭示书》以及对该文件的有效修改或补充。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4.投资者权益须知：指本理财产品对应的《投资者权益须知》以及对该文件的有效修改或补充。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5.投资协议书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6.销售文件：指本理财产品对应的产品说明书、风险揭示书、投资者权益须知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9F1694" w:rsidRDefault="005E592C">
      <w:pPr>
        <w:pStyle w:val="Normalb383aa26b383aa2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1.募集期：指管理人确定的接受投资者认购本理财产品的起止期限。</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2.开放期：指管理人确定的除募集期外接受投资者申购、赎回本理财产品的起止期限。</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3.提前终止权行使日：指管理人行使提前终止权的日期，即本理财产品被提前终止、开始停止计算收益的日期。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5.认购、申购、赎回确认日：指投资者认购、申购、赎回理财产品最终确认日期。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7.产品存续期：指理财产品成立至终止的期间。</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8.名义到期日：指在管理人未对本理财产品提前终止或延期终止的情况下本理财产品的到期日期。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10.工作日：指除国家法定节假日和休息日（包括周六、周日）外的日期。</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11.交易日：指上海证券交易所和深圳证券交易所的正常开盘交易日。</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12.支付日：指根据本理财产品说明书约定向销售文件约定的投资者授权指定账户划付理财产品资金之日。</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13.赎回或到期清算分配资金到账日：指赎回或到期清算分配资金划入销售文件约定的投资者授权指定账户之日。</w:t>
      </w:r>
    </w:p>
    <w:p w:rsidR="009F1694" w:rsidRDefault="005E592C">
      <w:pPr>
        <w:pStyle w:val="Normalb383aa26b383aa2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9F1694" w:rsidRDefault="005E592C">
      <w:pPr>
        <w:pStyle w:val="Normalb383aa26b383aa26"/>
        <w:widowControl/>
        <w:tabs>
          <w:tab w:val="left" w:pos="567"/>
        </w:tabs>
        <w:spacing w:line="200" w:lineRule="exact"/>
        <w:ind w:left="289"/>
        <w:rPr>
          <w:color w:val="3D3D3D"/>
          <w:kern w:val="0"/>
          <w:sz w:val="15"/>
          <w:szCs w:val="15"/>
        </w:rPr>
      </w:pPr>
      <w:r>
        <w:rPr>
          <w:color w:val="3D3D3D"/>
          <w:kern w:val="0"/>
          <w:sz w:val="15"/>
          <w:szCs w:val="15"/>
        </w:rPr>
        <w:t xml:space="preserve"> 1.本理财产品/理财产品：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鑫逸稳半</w:t>
      </w:r>
      <w:proofErr w:type="gramEnd"/>
      <w:r>
        <w:rPr>
          <w:b/>
          <w:bCs/>
          <w:color w:val="3D3D3D"/>
          <w:kern w:val="0"/>
          <w:sz w:val="15"/>
          <w:szCs w:val="15"/>
        </w:rPr>
        <w:t>年118期封闭式公募人民币理财产品</w:t>
      </w:r>
      <w:r>
        <w:rPr>
          <w:rFonts w:hint="eastAsia"/>
          <w:color w:val="3D3D3D"/>
          <w:kern w:val="0"/>
          <w:sz w:val="15"/>
          <w:szCs w:val="15"/>
        </w:rPr>
        <w:t>。</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9F1694" w:rsidRDefault="005E592C">
      <w:pPr>
        <w:pStyle w:val="Normalb383aa26b383aa26"/>
        <w:widowControl/>
        <w:tabs>
          <w:tab w:val="left" w:pos="567"/>
        </w:tabs>
        <w:spacing w:line="200" w:lineRule="exact"/>
        <w:ind w:left="289"/>
        <w:outlineLvl w:val="1"/>
      </w:pPr>
      <w:r>
        <w:rPr>
          <w:color w:val="3D3D3D"/>
          <w:kern w:val="0"/>
          <w:sz w:val="15"/>
          <w:szCs w:val="15"/>
        </w:rPr>
        <w:t xml:space="preserve"> 6.单位净值/产品每份额净值：指理财产品每单位份额的净值，即每1份理财产品份额以人民币计价的价格。</w:t>
      </w:r>
      <w:r>
        <w:rPr>
          <w:bCs/>
          <w:color w:val="3D3D3D"/>
          <w:kern w:val="0"/>
          <w:sz w:val="15"/>
          <w:szCs w:val="15"/>
        </w:rPr>
        <w:t>产品份额净值=产品资产净值/产品总份额。投资者按该份额净值进行理财产品认购、申购和赎回、获得到期/终止时分配。</w:t>
      </w:r>
      <w:r>
        <w:rPr>
          <w:color w:val="3D3D3D"/>
          <w:kern w:val="0"/>
          <w:sz w:val="15"/>
          <w:szCs w:val="15"/>
        </w:rPr>
        <w:t>产品份额净值按去尾法保留4位小数。</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7.理财产品估值/估值：指计算评估理财产品资产以确定理财产品份额单位净值的过程。</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8.业绩比较基准：指管理人基于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9.认购：指投资者根据产品说明书约定在募集期内申请购买本理财产品的理财产品份额的行为。</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10.申购、赎回申请：指在理财产品的开放期内，投资者向理财产品管理人提出申请对理财产品份额进行购买或卖出的行为。</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11.提前终止/延期终止权：指在本理财产品存续期内，管理人单方面根据本理财产品销售文件的约定提前终止/延期终止本理财产品的权利。</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12.授权指定账户：指投资者用于支付理财产品的认购或申购资金，并用于接收理财产品分红或赎回或到期清算分配款项的银行账户。</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13.固定收益类理财产品：指投资于存款、债券等债权类资产的比例不低于80%的理财产品。</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14.权益类理财产品：指投资于权益类资产的比例不低于80%的理财产品。</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15.商品及金融衍生品类理财产品：指投资于商品及金融衍生品的比例不低于80%的理财产品。</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16.混合类理财产品：指投资于债权类资产、权益类资产、商品及金融衍生品类资产且任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未达到80%的理财产品。</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17.公募理财产品：指面向不特定社会公众公开发行的理财产品。</w:t>
      </w:r>
    </w:p>
    <w:p w:rsidR="009F1694" w:rsidRDefault="005E592C">
      <w:pPr>
        <w:pStyle w:val="Normalb383aa26b383aa26"/>
        <w:widowControl/>
        <w:tabs>
          <w:tab w:val="left" w:pos="567"/>
        </w:tabs>
        <w:spacing w:line="200" w:lineRule="exact"/>
        <w:ind w:left="289"/>
        <w:outlineLvl w:val="1"/>
        <w:rPr>
          <w:color w:val="3D3D3D"/>
          <w:kern w:val="0"/>
          <w:sz w:val="15"/>
          <w:szCs w:val="15"/>
        </w:rPr>
      </w:pPr>
      <w:r>
        <w:rPr>
          <w:color w:val="3D3D3D"/>
          <w:kern w:val="0"/>
          <w:sz w:val="15"/>
          <w:szCs w:val="15"/>
        </w:rPr>
        <w:t xml:space="preserve"> 18.私募理财产品：指面向合格投资者非公开发行的理财产品。</w:t>
      </w:r>
    </w:p>
    <w:p w:rsidR="009F1694" w:rsidRDefault="005E592C">
      <w:pPr>
        <w:pStyle w:val="Normalb383aa26b383aa26"/>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9F1694" w:rsidRDefault="005E592C">
      <w:pPr>
        <w:pStyle w:val="Normalb383aa26b383aa26"/>
        <w:widowControl/>
        <w:tabs>
          <w:tab w:val="left" w:pos="567"/>
        </w:tabs>
        <w:spacing w:line="200" w:lineRule="exact"/>
        <w:ind w:left="289"/>
        <w:rPr>
          <w:color w:val="3D3D3D"/>
          <w:kern w:val="0"/>
          <w:sz w:val="15"/>
          <w:szCs w:val="15"/>
        </w:rPr>
      </w:pPr>
      <w:r>
        <w:rPr>
          <w:color w:val="3D3D3D"/>
          <w:kern w:val="0"/>
          <w:sz w:val="15"/>
          <w:szCs w:val="15"/>
        </w:rPr>
        <w:t xml:space="preserve"> 1.不可抗力：指理财产品各方不能预见、不能避免且不能克服的客观情况，该事件妨碍、影响或延误任何一方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9F1694" w:rsidRDefault="005E592C">
      <w:pPr>
        <w:pStyle w:val="11e3275c81e3275c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9F1694" w:rsidRDefault="005E592C">
      <w:pPr>
        <w:pStyle w:val="Normalb383aa26b383aa26"/>
        <w:widowControl/>
        <w:tabs>
          <w:tab w:val="left" w:pos="567"/>
        </w:tabs>
        <w:spacing w:line="200" w:lineRule="exact"/>
        <w:ind w:left="289"/>
        <w:rPr>
          <w:color w:val="3D3D3D"/>
          <w:kern w:val="0"/>
          <w:sz w:val="15"/>
          <w:szCs w:val="15"/>
        </w:rPr>
      </w:pPr>
      <w:r>
        <w:rPr>
          <w:color w:val="3D3D3D"/>
          <w:kern w:val="0"/>
          <w:sz w:val="15"/>
          <w:szCs w:val="15"/>
        </w:rPr>
        <w:t xml:space="preserve"> 2.中国：指中华人民共和国（为本理财产品销售文件之目的，不包括香港特别行政区、澳门特别行政区和台湾地区）。</w:t>
      </w:r>
    </w:p>
    <w:p w:rsidR="009F1694" w:rsidRDefault="005E592C">
      <w:pPr>
        <w:pStyle w:val="Normalb383aa26b383aa26"/>
        <w:widowControl/>
        <w:tabs>
          <w:tab w:val="left" w:pos="567"/>
        </w:tabs>
        <w:spacing w:line="200" w:lineRule="exact"/>
        <w:ind w:left="289"/>
        <w:rPr>
          <w:color w:val="3D3D3D"/>
          <w:kern w:val="0"/>
          <w:sz w:val="15"/>
          <w:szCs w:val="15"/>
        </w:rPr>
      </w:pPr>
      <w:r>
        <w:rPr>
          <w:color w:val="3D3D3D"/>
          <w:kern w:val="0"/>
          <w:sz w:val="15"/>
          <w:szCs w:val="15"/>
        </w:rPr>
        <w:t xml:space="preserve"> 3.元：指人民币元。</w:t>
      </w:r>
    </w:p>
    <w:p w:rsidR="009F1694" w:rsidRDefault="005E592C">
      <w:pPr>
        <w:pStyle w:val="Normalb383aa26b383aa26"/>
        <w:widowControl/>
        <w:tabs>
          <w:tab w:val="left" w:pos="567"/>
        </w:tabs>
        <w:spacing w:line="200" w:lineRule="exact"/>
        <w:ind w:left="289"/>
        <w:rPr>
          <w:color w:val="3D3D3D"/>
          <w:kern w:val="0"/>
          <w:sz w:val="15"/>
          <w:szCs w:val="15"/>
        </w:rPr>
      </w:pPr>
      <w:r>
        <w:rPr>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9F1694" w:rsidRDefault="005E592C">
      <w:pPr>
        <w:pStyle w:val="Normal79ca7f08"/>
        <w:widowControl/>
        <w:spacing w:line="200" w:lineRule="exact"/>
        <w:rPr>
          <w:b/>
          <w:bCs/>
          <w:kern w:val="0"/>
          <w:sz w:val="15"/>
          <w:szCs w:val="15"/>
        </w:rPr>
      </w:pPr>
      <w:r>
        <w:rPr>
          <w:rFonts w:hint="eastAsia"/>
          <w:b/>
          <w:bCs/>
          <w:kern w:val="0"/>
          <w:sz w:val="15"/>
          <w:szCs w:val="15"/>
        </w:rPr>
        <w:t>第三条  情景示例</w:t>
      </w:r>
    </w:p>
    <w:p w:rsidR="009F1694" w:rsidRDefault="005E592C">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9F1694" w:rsidRDefault="005E592C">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9F1694" w:rsidRDefault="005E592C">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9F1694" w:rsidRDefault="005E592C">
      <w:pPr>
        <w:pStyle w:val="Normal79ca7f08"/>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9F1694" w:rsidRDefault="005E592C">
      <w:pPr>
        <w:pStyle w:val="Normal79ca7f08"/>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9F1694" w:rsidRDefault="005E592C">
      <w:pPr>
        <w:pStyle w:val="Normal79ca7f08"/>
        <w:widowControl/>
        <w:spacing w:line="200" w:lineRule="exact"/>
        <w:rPr>
          <w:b/>
          <w:kern w:val="0"/>
          <w:sz w:val="15"/>
          <w:szCs w:val="15"/>
        </w:rPr>
      </w:pPr>
      <w:r>
        <w:rPr>
          <w:rFonts w:hint="eastAsia"/>
          <w:b/>
          <w:bCs/>
          <w:kern w:val="0"/>
          <w:sz w:val="15"/>
          <w:szCs w:val="15"/>
        </w:rPr>
        <w:t>第四</w:t>
      </w:r>
      <w:r>
        <w:rPr>
          <w:rFonts w:hint="eastAsia"/>
          <w:b/>
          <w:kern w:val="0"/>
          <w:sz w:val="15"/>
          <w:szCs w:val="15"/>
        </w:rPr>
        <w:t>条  理财产品估值</w:t>
      </w:r>
    </w:p>
    <w:p w:rsidR="009F1694" w:rsidRDefault="005E592C">
      <w:pPr>
        <w:spacing w:line="200" w:lineRule="exact"/>
        <w:ind w:firstLine="300"/>
      </w:pPr>
      <w:r>
        <w:rPr>
          <w:rFonts w:cs="宋体"/>
          <w:sz w:val="15"/>
          <w:szCs w:val="20"/>
        </w:rPr>
        <w:t>（一）估值日</w:t>
      </w:r>
    </w:p>
    <w:p w:rsidR="009F1694" w:rsidRDefault="005E592C">
      <w:pPr>
        <w:spacing w:line="200" w:lineRule="exact"/>
        <w:ind w:firstLine="300"/>
      </w:pPr>
      <w:r>
        <w:rPr>
          <w:rFonts w:cs="宋体"/>
          <w:sz w:val="15"/>
          <w:szCs w:val="20"/>
        </w:rPr>
        <w:t>本理财产品每个工作日进行估值。</w:t>
      </w:r>
    </w:p>
    <w:p w:rsidR="009F1694" w:rsidRDefault="005E592C">
      <w:pPr>
        <w:spacing w:line="200" w:lineRule="exact"/>
        <w:ind w:firstLine="300"/>
      </w:pPr>
      <w:r>
        <w:rPr>
          <w:rFonts w:cs="宋体"/>
          <w:sz w:val="15"/>
          <w:szCs w:val="20"/>
        </w:rPr>
        <w:t>（二）估值对象</w:t>
      </w:r>
    </w:p>
    <w:p w:rsidR="009F1694" w:rsidRDefault="005E592C">
      <w:pPr>
        <w:spacing w:line="200" w:lineRule="exact"/>
        <w:ind w:firstLine="300"/>
      </w:pPr>
      <w:r>
        <w:rPr>
          <w:rFonts w:cs="宋体"/>
          <w:sz w:val="15"/>
          <w:szCs w:val="20"/>
        </w:rPr>
        <w:t>本理财产品所拥有的所有资产及负债。</w:t>
      </w:r>
    </w:p>
    <w:p w:rsidR="009F1694" w:rsidRDefault="005E592C">
      <w:pPr>
        <w:spacing w:line="200" w:lineRule="exact"/>
        <w:ind w:firstLine="300"/>
      </w:pPr>
      <w:r>
        <w:rPr>
          <w:rFonts w:cs="宋体"/>
          <w:sz w:val="15"/>
          <w:szCs w:val="20"/>
        </w:rPr>
        <w:t>（三）估值目的</w:t>
      </w:r>
    </w:p>
    <w:p w:rsidR="009F1694" w:rsidRDefault="005E592C">
      <w:pPr>
        <w:spacing w:line="200" w:lineRule="exact"/>
        <w:ind w:firstLine="300"/>
      </w:pPr>
      <w:r>
        <w:rPr>
          <w:rFonts w:cs="宋体"/>
          <w:sz w:val="15"/>
          <w:szCs w:val="20"/>
        </w:rPr>
        <w:t>客观、准确反映理财产品的价值。</w:t>
      </w:r>
    </w:p>
    <w:p w:rsidR="009F1694" w:rsidRDefault="005E592C">
      <w:pPr>
        <w:spacing w:line="200" w:lineRule="exact"/>
        <w:ind w:firstLine="300"/>
      </w:pPr>
      <w:r>
        <w:rPr>
          <w:rFonts w:cs="宋体"/>
          <w:sz w:val="15"/>
          <w:szCs w:val="20"/>
        </w:rPr>
        <w:t>（四）估值原则</w:t>
      </w:r>
    </w:p>
    <w:p w:rsidR="009F1694" w:rsidRDefault="005E592C">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9F1694" w:rsidRDefault="005E592C">
      <w:pPr>
        <w:spacing w:line="200" w:lineRule="exact"/>
        <w:ind w:firstLine="300"/>
      </w:pPr>
      <w:r>
        <w:rPr>
          <w:rFonts w:cs="宋体"/>
          <w:sz w:val="15"/>
          <w:szCs w:val="20"/>
        </w:rPr>
        <w:t>（五）估值方法</w:t>
      </w:r>
    </w:p>
    <w:p w:rsidR="009F1694" w:rsidRDefault="005E592C">
      <w:pPr>
        <w:spacing w:line="200" w:lineRule="exact"/>
        <w:ind w:firstLine="440"/>
      </w:pPr>
      <w:r>
        <w:rPr>
          <w:rFonts w:cs="宋体"/>
          <w:sz w:val="18"/>
          <w:szCs w:val="20"/>
        </w:rPr>
        <w:t>估值方法中列示的资产品种不代表管理人的实际投向，本理财产品拟投资范围以“投资范围”章节描述为准。</w:t>
      </w:r>
    </w:p>
    <w:p w:rsidR="009F1694" w:rsidRDefault="005E592C">
      <w:pPr>
        <w:spacing w:line="200" w:lineRule="exact"/>
        <w:ind w:firstLine="440"/>
      </w:pPr>
      <w:r>
        <w:rPr>
          <w:rFonts w:cs="宋体"/>
          <w:sz w:val="18"/>
          <w:szCs w:val="20"/>
        </w:rPr>
        <w:t>1.银行存款、回购等货币市场工具</w:t>
      </w:r>
    </w:p>
    <w:p w:rsidR="009F1694" w:rsidRDefault="005E592C">
      <w:pPr>
        <w:spacing w:line="200" w:lineRule="exact"/>
        <w:ind w:firstLine="440"/>
      </w:pPr>
      <w:r>
        <w:rPr>
          <w:rFonts w:cs="宋体"/>
          <w:sz w:val="18"/>
          <w:szCs w:val="20"/>
        </w:rPr>
        <w:t>以本金列示，逐日计提利息。</w:t>
      </w:r>
    </w:p>
    <w:p w:rsidR="009F1694" w:rsidRDefault="005E592C">
      <w:pPr>
        <w:spacing w:line="200" w:lineRule="exact"/>
        <w:ind w:firstLine="440"/>
      </w:pPr>
      <w:r>
        <w:rPr>
          <w:rFonts w:cs="宋体"/>
          <w:sz w:val="18"/>
          <w:szCs w:val="20"/>
        </w:rPr>
        <w:t>2.债券类资产</w:t>
      </w:r>
    </w:p>
    <w:p w:rsidR="009F1694" w:rsidRDefault="005E592C">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w:t>
      </w:r>
      <w:r>
        <w:rPr>
          <w:rFonts w:cs="宋体"/>
          <w:sz w:val="18"/>
          <w:szCs w:val="20"/>
        </w:rPr>
        <w:lastRenderedPageBreak/>
        <w:t>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9F1694" w:rsidRDefault="005E592C">
      <w:pPr>
        <w:spacing w:line="200" w:lineRule="exact"/>
        <w:ind w:firstLine="440"/>
      </w:pPr>
      <w:r>
        <w:rPr>
          <w:rFonts w:cs="宋体"/>
          <w:sz w:val="18"/>
          <w:szCs w:val="20"/>
        </w:rPr>
        <w:t>3.非标准化债权类资产</w:t>
      </w:r>
    </w:p>
    <w:p w:rsidR="009F1694" w:rsidRDefault="005E592C">
      <w:pPr>
        <w:spacing w:line="200" w:lineRule="exact"/>
        <w:ind w:firstLine="440"/>
      </w:pPr>
      <w:r>
        <w:rPr>
          <w:rFonts w:cs="宋体"/>
          <w:sz w:val="18"/>
          <w:szCs w:val="20"/>
        </w:rPr>
        <w:t>非标准化债权类资产按照公允价值估值，优先采用市值法估值。对于符合企业会计准则及监管规定范围内且分类为“以摊余成本计量的金融资产”的资产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9F1694" w:rsidRDefault="005E592C">
      <w:pPr>
        <w:spacing w:line="200" w:lineRule="exact"/>
        <w:ind w:firstLine="440"/>
      </w:pPr>
      <w:r>
        <w:rPr>
          <w:rFonts w:cs="宋体"/>
          <w:sz w:val="18"/>
          <w:szCs w:val="20"/>
        </w:rPr>
        <w:t>4.证券投资基金、</w:t>
      </w:r>
      <w:proofErr w:type="gramStart"/>
      <w:r>
        <w:rPr>
          <w:rFonts w:cs="宋体"/>
          <w:sz w:val="18"/>
          <w:szCs w:val="20"/>
        </w:rPr>
        <w:t>资管计划</w:t>
      </w:r>
      <w:proofErr w:type="gramEnd"/>
      <w:r>
        <w:rPr>
          <w:rFonts w:cs="宋体"/>
          <w:sz w:val="18"/>
          <w:szCs w:val="20"/>
        </w:rPr>
        <w:t>、信托计划等资产</w:t>
      </w:r>
    </w:p>
    <w:p w:rsidR="009F1694" w:rsidRDefault="005E592C">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9F1694" w:rsidRDefault="005E592C">
      <w:pPr>
        <w:spacing w:line="200" w:lineRule="exact"/>
        <w:ind w:firstLine="440"/>
      </w:pPr>
      <w:r>
        <w:rPr>
          <w:rFonts w:cs="宋体"/>
          <w:sz w:val="18"/>
          <w:szCs w:val="20"/>
        </w:rPr>
        <w:t>5.股权类及其他资产</w:t>
      </w:r>
    </w:p>
    <w:p w:rsidR="009F1694" w:rsidRDefault="005E592C">
      <w:pPr>
        <w:spacing w:line="200" w:lineRule="exact"/>
        <w:ind w:firstLine="440"/>
      </w:pPr>
      <w:r>
        <w:rPr>
          <w:rFonts w:cs="宋体"/>
          <w:sz w:val="18"/>
          <w:szCs w:val="20"/>
        </w:rPr>
        <w:t>按照公允价值估值，优先采用市值法估值。</w:t>
      </w:r>
    </w:p>
    <w:p w:rsidR="009F1694" w:rsidRDefault="005E592C">
      <w:pPr>
        <w:spacing w:line="200" w:lineRule="exact"/>
        <w:ind w:firstLine="440"/>
      </w:pPr>
      <w:r>
        <w:rPr>
          <w:rFonts w:cs="宋体"/>
          <w:sz w:val="18"/>
          <w:szCs w:val="20"/>
        </w:rPr>
        <w:t>6.如有新增事项或变更事项，按国家最新规定或监管最新要求进行调整。</w:t>
      </w:r>
    </w:p>
    <w:p w:rsidR="009F1694" w:rsidRDefault="005E592C">
      <w:pPr>
        <w:spacing w:line="200" w:lineRule="exact"/>
        <w:ind w:firstLine="300"/>
      </w:pPr>
      <w:r>
        <w:rPr>
          <w:rFonts w:cs="宋体"/>
          <w:sz w:val="15"/>
          <w:szCs w:val="20"/>
        </w:rPr>
        <w:t>（六）估值错误及暂停估值</w:t>
      </w:r>
    </w:p>
    <w:p w:rsidR="009F1694" w:rsidRDefault="005E592C">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9F1694" w:rsidRDefault="005E592C">
      <w:pPr>
        <w:pStyle w:val="Normal79ca7f08"/>
        <w:widowControl/>
        <w:spacing w:line="200" w:lineRule="exact"/>
        <w:rPr>
          <w:b/>
          <w:bCs/>
          <w:kern w:val="0"/>
          <w:sz w:val="15"/>
          <w:szCs w:val="15"/>
        </w:rPr>
      </w:pPr>
      <w:r>
        <w:rPr>
          <w:rFonts w:hint="eastAsia"/>
          <w:b/>
          <w:bCs/>
          <w:kern w:val="0"/>
          <w:sz w:val="15"/>
          <w:szCs w:val="15"/>
        </w:rPr>
        <w:t>第五条  信息披露</w:t>
      </w:r>
    </w:p>
    <w:p w:rsidR="009F1694" w:rsidRDefault="005E592C">
      <w:pPr>
        <w:pStyle w:val="Normal79ca7f08"/>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9F1694" w:rsidRDefault="005E592C">
      <w:pPr>
        <w:spacing w:line="200" w:lineRule="exact"/>
      </w:pPr>
      <w:r>
        <w:rPr>
          <w:rFonts w:cs="宋体"/>
          <w:color w:val="3D3D3D"/>
          <w:sz w:val="15"/>
          <w:szCs w:val="20"/>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9F1694" w:rsidRDefault="005E592C">
      <w:pPr>
        <w:pStyle w:val="Normal79ca7f08"/>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管理人在本理财产品存续期间至少按周向投资者披露净值。</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个工作日或者剩余存续期不超过</w:t>
      </w:r>
      <w:r>
        <w:rPr>
          <w:color w:val="3D3D3D"/>
          <w:kern w:val="0"/>
          <w:sz w:val="15"/>
          <w:szCs w:val="15"/>
        </w:rPr>
        <w:t>90</w:t>
      </w:r>
      <w:r>
        <w:rPr>
          <w:rFonts w:hint="eastAsia"/>
          <w:color w:val="3D3D3D"/>
          <w:kern w:val="0"/>
          <w:sz w:val="15"/>
          <w:szCs w:val="15"/>
        </w:rPr>
        <w:t>个工作日的，管理人可以不编制产品当期的季度、半年和年度报告。</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9F1694" w:rsidRDefault="005E592C">
      <w:pPr>
        <w:pStyle w:val="Normal79ca7f08"/>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9F1694" w:rsidRDefault="005E592C">
      <w:pPr>
        <w:pStyle w:val="Normal79ca7f08"/>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9F1694" w:rsidRDefault="005E592C">
      <w:pPr>
        <w:pStyle w:val="Normal79ca7f08"/>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9F1694" w:rsidRDefault="005E592C">
      <w:pPr>
        <w:pStyle w:val="Normal79ca7f08"/>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9F1694" w:rsidRDefault="005E592C">
      <w:pPr>
        <w:pStyle w:val="Normal79ca7f08"/>
        <w:widowControl/>
        <w:spacing w:line="200" w:lineRule="exact"/>
        <w:ind w:firstLineChars="200" w:firstLine="300"/>
        <w:rPr>
          <w:color w:val="3D3D3D"/>
          <w:kern w:val="0"/>
          <w:sz w:val="15"/>
          <w:szCs w:val="15"/>
        </w:rPr>
      </w:pPr>
      <w:r>
        <w:rPr>
          <w:rFonts w:hint="eastAsia"/>
          <w:color w:val="3D3D3D"/>
          <w:kern w:val="0"/>
          <w:sz w:val="15"/>
          <w:szCs w:val="15"/>
        </w:rPr>
        <w:t>10.其他公告</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第六条  投资者保护提示</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第七条  法律适用和争议解决</w:t>
      </w:r>
    </w:p>
    <w:p w:rsidR="009F1694" w:rsidRDefault="005E592C">
      <w:pPr>
        <w:pStyle w:val="Normal79ca7f08"/>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第八条  重要提示</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9F1694" w:rsidRDefault="005E592C">
      <w:pPr>
        <w:pStyle w:val="Normal79ca7f08"/>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9F1694" w:rsidRDefault="009F1694">
      <w:pPr>
        <w:pStyle w:val="Normal79ca7f08"/>
        <w:widowControl/>
        <w:rPr>
          <w:b/>
          <w:bCs/>
          <w:color w:val="3D3D3D"/>
          <w:kern w:val="0"/>
          <w:sz w:val="15"/>
          <w:szCs w:val="15"/>
        </w:rPr>
      </w:pPr>
    </w:p>
    <w:p w:rsidR="009F1694" w:rsidRDefault="005E592C">
      <w:pPr>
        <w:pStyle w:val="Normal79ca7f08"/>
        <w:widowControl/>
        <w:rPr>
          <w:b/>
          <w:bCs/>
          <w:color w:val="3D3D3D"/>
          <w:kern w:val="0"/>
          <w:sz w:val="15"/>
          <w:szCs w:val="15"/>
        </w:rPr>
      </w:pPr>
      <w:r>
        <w:rPr>
          <w:rFonts w:hint="eastAsia"/>
          <w:b/>
          <w:bCs/>
          <w:color w:val="3D3D3D"/>
          <w:kern w:val="0"/>
          <w:sz w:val="15"/>
          <w:szCs w:val="15"/>
        </w:rPr>
        <w:t>风险提示：</w:t>
      </w:r>
    </w:p>
    <w:p w:rsidR="009F1694" w:rsidRDefault="005E592C">
      <w:pPr>
        <w:pStyle w:val="Normal79ca7f08"/>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sidR="00987001" w:rsidRDefault="00987001" w:rsidP="00987001">
      <w:pPr>
        <w:pStyle w:val="10"/>
      </w:pPr>
    </w:p>
    <w:p w:rsidR="00987001" w:rsidRDefault="00987001" w:rsidP="00987001"/>
    <w:p w:rsidR="00987001" w:rsidRDefault="00987001" w:rsidP="00987001"/>
    <w:p w:rsidR="00987001" w:rsidRDefault="00987001" w:rsidP="00987001"/>
    <w:p w:rsidR="00B63A52" w:rsidRDefault="00B63A52" w:rsidP="00B63A52">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rsidR="00B63A52" w:rsidRDefault="00B63A52" w:rsidP="00B63A52">
      <w:pPr>
        <w:ind w:firstLineChars="200" w:firstLine="321"/>
        <w:jc w:val="center"/>
        <w:rPr>
          <w:rFonts w:ascii="宋体" w:eastAsia="宋体" w:hAnsi="宋体" w:hint="eastAsia"/>
          <w:b/>
          <w:i/>
          <w:sz w:val="16"/>
          <w:szCs w:val="15"/>
          <w:u w:val="single"/>
        </w:rPr>
      </w:pPr>
    </w:p>
    <w:p w:rsidR="00B63A52" w:rsidRDefault="00B63A52" w:rsidP="00B63A52">
      <w:pPr>
        <w:ind w:firstLineChars="200" w:firstLine="321"/>
        <w:jc w:val="center"/>
        <w:rPr>
          <w:rFonts w:ascii="宋体" w:hAnsi="宋体" w:hint="eastAsia"/>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B63A52" w:rsidRDefault="00B63A52" w:rsidP="00B63A52">
      <w:pPr>
        <w:pStyle w:val="ab"/>
        <w:spacing w:before="0" w:after="0" w:line="240" w:lineRule="auto"/>
        <w:ind w:firstLine="0"/>
        <w:rPr>
          <w:rFonts w:hint="eastAsia"/>
          <w:spacing w:val="10"/>
          <w:sz w:val="15"/>
          <w:szCs w:val="15"/>
        </w:rPr>
      </w:pPr>
      <w:r>
        <w:rPr>
          <w:rFonts w:hint="eastAsia"/>
          <w:spacing w:val="10"/>
          <w:sz w:val="15"/>
          <w:szCs w:val="15"/>
        </w:rPr>
        <w:t>尊敬的投资者：</w:t>
      </w:r>
    </w:p>
    <w:p w:rsidR="00B63A52" w:rsidRDefault="00B63A52" w:rsidP="00B63A52">
      <w:pPr>
        <w:pStyle w:val="ab"/>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B63A52" w:rsidRDefault="00B63A52" w:rsidP="00B63A52">
      <w:pPr>
        <w:pStyle w:val="ab"/>
        <w:spacing w:before="0" w:after="0" w:line="240" w:lineRule="auto"/>
        <w:ind w:firstLineChars="200" w:firstLine="340"/>
        <w:jc w:val="both"/>
        <w:rPr>
          <w:spacing w:val="10"/>
          <w:sz w:val="15"/>
          <w:szCs w:val="15"/>
        </w:rPr>
      </w:pPr>
      <w:r>
        <w:rPr>
          <w:rFonts w:hint="eastAsia"/>
          <w:spacing w:val="10"/>
          <w:sz w:val="15"/>
          <w:szCs w:val="15"/>
        </w:rPr>
        <w:t>本理财产品指由南银理财作为管理人发行，并由南京银行股份有限公司（以下简称“销售机构”）销售的理财产品。</w:t>
      </w:r>
    </w:p>
    <w:p w:rsidR="00B63A52" w:rsidRDefault="00B63A52" w:rsidP="00B63A52">
      <w:pPr>
        <w:pStyle w:val="ab"/>
        <w:spacing w:line="240" w:lineRule="auto"/>
        <w:ind w:left="341" w:firstLine="0"/>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B63A52" w:rsidRDefault="00B63A52" w:rsidP="00B63A52">
      <w:pPr>
        <w:pStyle w:val="ab"/>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B63A52" w:rsidRDefault="00B63A52" w:rsidP="00B63A52">
      <w:pPr>
        <w:pStyle w:val="ab"/>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B63A52" w:rsidRDefault="00B63A52" w:rsidP="00B63A52">
      <w:pPr>
        <w:pStyle w:val="ab"/>
        <w:spacing w:before="0" w:after="0" w:line="240" w:lineRule="auto"/>
        <w:ind w:firstLine="48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B63A52" w:rsidRDefault="00B63A52" w:rsidP="00B63A52">
      <w:pPr>
        <w:pStyle w:val="ab"/>
        <w:spacing w:before="0" w:after="0" w:line="240" w:lineRule="auto"/>
        <w:ind w:firstLine="480"/>
        <w:jc w:val="both"/>
        <w:rPr>
          <w:bCs/>
          <w:spacing w:val="10"/>
          <w:sz w:val="15"/>
          <w:szCs w:val="15"/>
        </w:rPr>
      </w:pPr>
      <w:r>
        <w:rPr>
          <w:rFonts w:hint="eastAsia"/>
          <w:bCs/>
          <w:spacing w:val="10"/>
          <w:sz w:val="15"/>
          <w:szCs w:val="15"/>
        </w:rPr>
        <w:t>通过代销机构购买理财产品的具体流程说明：</w:t>
      </w:r>
    </w:p>
    <w:p w:rsidR="00B63A52" w:rsidRDefault="00B63A52" w:rsidP="00B63A52">
      <w:pPr>
        <w:pStyle w:val="ab"/>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B63A52" w:rsidRDefault="00B63A52" w:rsidP="00B63A52">
      <w:pPr>
        <w:pStyle w:val="ab"/>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时段内，投资者可选择在代销机构营业网点或电子渠道购买。</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w:t>
      </w:r>
      <w:proofErr w:type="gramStart"/>
      <w:r>
        <w:rPr>
          <w:rFonts w:hint="eastAsia"/>
          <w:bCs/>
          <w:spacing w:val="10"/>
          <w:sz w:val="15"/>
          <w:szCs w:val="15"/>
        </w:rPr>
        <w:t>等同于认</w:t>
      </w:r>
      <w:proofErr w:type="gramEnd"/>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w:t>
      </w:r>
      <w:proofErr w:type="gramStart"/>
      <w:r>
        <w:rPr>
          <w:rFonts w:hint="eastAsia"/>
          <w:bCs/>
          <w:spacing w:val="10"/>
          <w:sz w:val="15"/>
          <w:szCs w:val="15"/>
        </w:rPr>
        <w:t>期销售</w:t>
      </w:r>
      <w:proofErr w:type="gramEnd"/>
      <w:r>
        <w:rPr>
          <w:rFonts w:hint="eastAsia"/>
          <w:bCs/>
          <w:spacing w:val="10"/>
          <w:sz w:val="15"/>
          <w:szCs w:val="15"/>
        </w:rPr>
        <w:t>时段内，按照对应期次的《理财产品说明书》约定的币种和金额存入授权指定账户。</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B63A52" w:rsidRDefault="00B63A52" w:rsidP="00B63A52">
      <w:pPr>
        <w:pStyle w:val="ab"/>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B63A52" w:rsidRDefault="00B63A52" w:rsidP="00B63A52">
      <w:pPr>
        <w:pStyle w:val="ab"/>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提前</w:t>
      </w:r>
      <w:proofErr w:type="gramStart"/>
      <w:r>
        <w:rPr>
          <w:rFonts w:hint="eastAsia"/>
          <w:bCs/>
          <w:spacing w:val="10"/>
          <w:sz w:val="15"/>
          <w:szCs w:val="15"/>
        </w:rPr>
        <w:t>终止—当理财</w:t>
      </w:r>
      <w:proofErr w:type="gramEnd"/>
      <w:r>
        <w:rPr>
          <w:rFonts w:hint="eastAsia"/>
          <w:bCs/>
          <w:spacing w:val="10"/>
          <w:sz w:val="15"/>
          <w:szCs w:val="15"/>
        </w:rPr>
        <w:t>产品发生全部提前终止时，南银理财和代销机构应当按照对应期次理财产品销售文件约定的方式向投资者告知相应理财产品的提前终止事宜。</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B63A52" w:rsidRDefault="00B63A52" w:rsidP="00B63A52">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B63A52" w:rsidRDefault="00B63A52" w:rsidP="00B63A52">
      <w:pPr>
        <w:pStyle w:val="ab"/>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B63A52" w:rsidRDefault="00B63A52" w:rsidP="00B63A52">
      <w:pPr>
        <w:pStyle w:val="ab"/>
        <w:spacing w:before="0" w:after="0" w:line="240" w:lineRule="auto"/>
        <w:ind w:firstLine="478"/>
        <w:jc w:val="both"/>
        <w:rPr>
          <w:b/>
          <w:spacing w:val="10"/>
          <w:sz w:val="15"/>
          <w:szCs w:val="15"/>
        </w:rPr>
      </w:pPr>
      <w:r>
        <w:rPr>
          <w:rFonts w:hint="eastAsia"/>
          <w:b/>
          <w:spacing w:val="10"/>
          <w:sz w:val="15"/>
          <w:szCs w:val="15"/>
        </w:rPr>
        <w:t>（一）个人投资者风险承受能力评估流程说明</w:t>
      </w:r>
    </w:p>
    <w:p w:rsidR="00B63A52" w:rsidRDefault="00B63A52" w:rsidP="00B63A52">
      <w:pPr>
        <w:pStyle w:val="ab"/>
        <w:spacing w:before="0" w:after="0" w:line="240" w:lineRule="auto"/>
        <w:ind w:firstLine="338"/>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B63A52" w:rsidRDefault="00B63A52" w:rsidP="00B63A52">
      <w:pPr>
        <w:pStyle w:val="ab"/>
        <w:spacing w:before="0" w:after="0" w:line="240" w:lineRule="auto"/>
        <w:ind w:firstLine="338"/>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B63A52" w:rsidRDefault="00B63A52" w:rsidP="00B63A52">
      <w:pPr>
        <w:pStyle w:val="ab"/>
        <w:spacing w:before="0" w:after="0" w:line="240" w:lineRule="auto"/>
        <w:ind w:firstLine="338"/>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B63A52" w:rsidRDefault="00B63A52" w:rsidP="00B63A52">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B63A52" w:rsidRDefault="00B63A52" w:rsidP="00B63A52">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B63A52" w:rsidRDefault="00B63A52" w:rsidP="00B63A52">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B63A52" w:rsidRDefault="00B63A52" w:rsidP="00B63A52">
      <w:pPr>
        <w:pStyle w:val="ab"/>
        <w:spacing w:before="0" w:after="0" w:line="240" w:lineRule="auto"/>
        <w:ind w:firstLine="338"/>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B63A52" w:rsidRDefault="00B63A52" w:rsidP="00B63A52">
      <w:pPr>
        <w:pStyle w:val="ab"/>
        <w:spacing w:before="0" w:after="0" w:line="240" w:lineRule="auto"/>
        <w:ind w:firstLine="478"/>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B63A52" w:rsidRDefault="00B63A52" w:rsidP="00B63A52">
      <w:pPr>
        <w:pStyle w:val="ab"/>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B63A52" w:rsidRDefault="00B63A52" w:rsidP="00B63A52">
      <w:pPr>
        <w:pStyle w:val="ab"/>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B63A52" w:rsidRDefault="00B63A52" w:rsidP="00B63A52">
      <w:pPr>
        <w:pStyle w:val="ab"/>
        <w:spacing w:before="0" w:after="0" w:line="240" w:lineRule="auto"/>
        <w:ind w:firstLine="478"/>
        <w:jc w:val="both"/>
        <w:rPr>
          <w:b/>
          <w:spacing w:val="10"/>
          <w:sz w:val="15"/>
          <w:szCs w:val="15"/>
        </w:rPr>
      </w:pPr>
      <w:r>
        <w:rPr>
          <w:rFonts w:hint="eastAsia"/>
          <w:b/>
          <w:spacing w:val="10"/>
          <w:sz w:val="15"/>
          <w:szCs w:val="15"/>
        </w:rPr>
        <w:t>（二）机构投资者风险承受能力评估流程说明</w:t>
      </w:r>
    </w:p>
    <w:p w:rsidR="00B63A52" w:rsidRDefault="00B63A52" w:rsidP="00B63A52">
      <w:pPr>
        <w:pStyle w:val="ab"/>
        <w:spacing w:before="0" w:after="0" w:line="240" w:lineRule="auto"/>
        <w:ind w:firstLine="478"/>
        <w:jc w:val="both"/>
        <w:rPr>
          <w:bCs/>
          <w:spacing w:val="10"/>
          <w:sz w:val="15"/>
          <w:szCs w:val="15"/>
        </w:rPr>
      </w:pPr>
      <w:r>
        <w:rPr>
          <w:rFonts w:hint="eastAsia"/>
          <w:bCs/>
          <w:spacing w:val="10"/>
          <w:sz w:val="15"/>
          <w:szCs w:val="15"/>
        </w:rPr>
        <w:t>机构投资者请根据自身的财务状况、投资经验、投资目标、风险认知、风险判断及其他因素综合</w:t>
      </w:r>
      <w:proofErr w:type="gramStart"/>
      <w:r>
        <w:rPr>
          <w:rFonts w:hint="eastAsia"/>
          <w:bCs/>
          <w:spacing w:val="10"/>
          <w:sz w:val="15"/>
          <w:szCs w:val="15"/>
        </w:rPr>
        <w:t>考量</w:t>
      </w:r>
      <w:proofErr w:type="gramEnd"/>
      <w:r>
        <w:rPr>
          <w:rFonts w:hint="eastAsia"/>
          <w:bCs/>
          <w:spacing w:val="10"/>
          <w:sz w:val="15"/>
          <w:szCs w:val="15"/>
        </w:rPr>
        <w:t>理财产品的投资风险及自身的风险承受能力。</w:t>
      </w:r>
    </w:p>
    <w:p w:rsidR="00B63A52" w:rsidRDefault="00B63A52" w:rsidP="00B63A52">
      <w:pPr>
        <w:pStyle w:val="ab"/>
        <w:spacing w:before="0" w:after="0" w:line="240" w:lineRule="auto"/>
        <w:ind w:firstLine="478"/>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B63A52" w:rsidRDefault="00B63A52" w:rsidP="00B63A52">
      <w:pPr>
        <w:pStyle w:val="ab"/>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由于理财产品的运行方式和投资范围等不同，其承担的风险程度各有不同，南银理财将其风险等级分为五级，分别为：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B63A52" w:rsidRDefault="00B63A52" w:rsidP="00B63A52">
      <w:pPr>
        <w:pStyle w:val="ab"/>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B63A52" w:rsidRDefault="00B63A52" w:rsidP="00B63A52">
      <w:pPr>
        <w:pStyle w:val="ab"/>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B63A52" w:rsidRDefault="00B63A52" w:rsidP="00B63A52">
      <w:pPr>
        <w:pStyle w:val="ab"/>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B63A52" w:rsidRDefault="00B63A52" w:rsidP="00B63A52">
      <w:pPr>
        <w:pStyle w:val="ab"/>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B63A52" w:rsidRDefault="00B63A52" w:rsidP="00B63A52">
      <w:pPr>
        <w:pStyle w:val="ab"/>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B63A52" w:rsidRDefault="00B63A52" w:rsidP="00B63A52">
      <w:pPr>
        <w:pStyle w:val="ab"/>
        <w:spacing w:before="0" w:after="0" w:line="240" w:lineRule="auto"/>
        <w:ind w:firstLineChars="199" w:firstLine="338"/>
        <w:jc w:val="both"/>
        <w:rPr>
          <w:spacing w:val="10"/>
          <w:sz w:val="15"/>
          <w:szCs w:val="15"/>
        </w:rPr>
      </w:pPr>
      <w:proofErr w:type="gramStart"/>
      <w:r>
        <w:rPr>
          <w:rFonts w:hint="eastAsia"/>
          <w:spacing w:val="10"/>
          <w:sz w:val="15"/>
          <w:szCs w:val="15"/>
        </w:rPr>
        <w:t>本风险</w:t>
      </w:r>
      <w:proofErr w:type="gramEnd"/>
      <w:r>
        <w:rPr>
          <w:rFonts w:hint="eastAsia"/>
          <w:spacing w:val="10"/>
          <w:sz w:val="15"/>
          <w:szCs w:val="15"/>
        </w:rPr>
        <w:t>等级为南银理财风险评级结果，该产品通过代理销售机构渠道销售的，理财产品评级应当以代理销售机构最终披露的评级结果为准。您需充分认识投资风险，谨慎投资。</w:t>
      </w:r>
    </w:p>
    <w:p w:rsidR="00B63A52" w:rsidRDefault="00B63A52" w:rsidP="00B63A52">
      <w:pPr>
        <w:pStyle w:val="ab"/>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B63A52" w:rsidRDefault="00B63A52" w:rsidP="00B63A52">
      <w:pPr>
        <w:pStyle w:val="ab"/>
        <w:numPr>
          <w:ilvl w:val="0"/>
          <w:numId w:val="16"/>
        </w:numPr>
        <w:spacing w:before="0" w:after="0" w:line="240" w:lineRule="auto"/>
        <w:ind w:firstLineChars="198" w:firstLine="338"/>
        <w:jc w:val="both"/>
        <w:textAlignment w:val="auto"/>
        <w:rPr>
          <w:b/>
          <w:bCs/>
          <w:spacing w:val="10"/>
          <w:sz w:val="15"/>
          <w:szCs w:val="15"/>
        </w:rPr>
      </w:pPr>
      <w:r>
        <w:rPr>
          <w:rFonts w:hint="eastAsia"/>
          <w:b/>
          <w:bCs/>
          <w:spacing w:val="10"/>
          <w:sz w:val="15"/>
          <w:szCs w:val="15"/>
        </w:rPr>
        <w:t>个人投资者风险承受能力等级与适合购买的理财产品说明</w:t>
      </w:r>
    </w:p>
    <w:p w:rsidR="00B63A52" w:rsidRDefault="00B63A52" w:rsidP="00B63A52">
      <w:pPr>
        <w:pStyle w:val="ab"/>
        <w:spacing w:before="0" w:after="0" w:line="240" w:lineRule="auto"/>
        <w:ind w:firstLineChars="198" w:firstLine="338"/>
        <w:jc w:val="both"/>
        <w:rPr>
          <w:b/>
          <w:bCs/>
          <w:spacing w:val="10"/>
          <w:sz w:val="15"/>
          <w:szCs w:val="15"/>
        </w:rPr>
      </w:pPr>
    </w:p>
    <w:p w:rsidR="00B63A52" w:rsidRDefault="00B63A52" w:rsidP="00B63A52">
      <w:pPr>
        <w:pStyle w:val="ab"/>
        <w:spacing w:before="0" w:after="0" w:line="240" w:lineRule="auto"/>
        <w:ind w:firstLineChars="198" w:firstLine="338"/>
        <w:jc w:val="both"/>
        <w:rPr>
          <w:b/>
          <w:bCs/>
          <w:spacing w:val="10"/>
          <w:sz w:val="15"/>
          <w:szCs w:val="15"/>
        </w:rPr>
      </w:pPr>
    </w:p>
    <w:p w:rsidR="00B63A52" w:rsidRDefault="00B63A52" w:rsidP="00B63A52">
      <w:pPr>
        <w:pStyle w:val="ab"/>
        <w:spacing w:before="0" w:after="0" w:line="240" w:lineRule="auto"/>
        <w:ind w:firstLineChars="198" w:firstLine="338"/>
        <w:jc w:val="both"/>
        <w:rPr>
          <w:b/>
          <w:bCs/>
          <w:spacing w:val="10"/>
          <w:sz w:val="15"/>
          <w:szCs w:val="15"/>
        </w:rPr>
      </w:pPr>
    </w:p>
    <w:tbl>
      <w:tblPr>
        <w:tblW w:w="0" w:type="dxa"/>
        <w:jc w:val="center"/>
        <w:tblLayout w:type="fixed"/>
        <w:tblLook w:val="04A0" w:firstRow="1" w:lastRow="0" w:firstColumn="1" w:lastColumn="0" w:noHBand="0" w:noVBand="1"/>
      </w:tblPr>
      <w:tblGrid>
        <w:gridCol w:w="1866"/>
        <w:gridCol w:w="741"/>
        <w:gridCol w:w="816"/>
        <w:gridCol w:w="816"/>
        <w:gridCol w:w="816"/>
        <w:gridCol w:w="741"/>
      </w:tblGrid>
      <w:tr w:rsidR="00B63A52" w:rsidTr="00B63A52">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B63A52" w:rsidTr="00B63A52">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B63A52" w:rsidRDefault="00B63A52">
            <w:pPr>
              <w:widowControl/>
              <w:jc w:val="left"/>
              <w:rPr>
                <w:rFonts w:ascii="宋体" w:eastAsia="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低风险</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中低风险</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中等风险</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中高风险</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高风险</w:t>
            </w:r>
          </w:p>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w:t>
            </w:r>
            <w:r>
              <w:rPr>
                <w:rFonts w:ascii="宋体" w:hAnsi="宋体" w:cs="宋体" w:hint="eastAsia"/>
                <w:kern w:val="0"/>
                <w:sz w:val="15"/>
                <w:szCs w:val="15"/>
              </w:rPr>
              <w:t>PR5</w:t>
            </w:r>
            <w:r>
              <w:rPr>
                <w:rFonts w:ascii="宋体" w:hAnsi="宋体" w:cs="宋体" w:hint="eastAsia"/>
                <w:kern w:val="0"/>
                <w:sz w:val="15"/>
                <w:szCs w:val="15"/>
              </w:rPr>
              <w:t>）</w:t>
            </w:r>
          </w:p>
        </w:tc>
      </w:tr>
      <w:tr w:rsidR="00B63A52" w:rsidTr="00B63A5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r>
      <w:tr w:rsidR="00B63A52" w:rsidTr="00B63A5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r>
      <w:tr w:rsidR="00B63A52" w:rsidTr="00B63A52">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r>
      <w:tr w:rsidR="00B63A52" w:rsidTr="00B63A52">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r>
      <w:tr w:rsidR="00B63A52" w:rsidTr="00B63A52">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B63A52" w:rsidRDefault="00B63A52">
            <w:pPr>
              <w:widowControl/>
              <w:snapToGrid w:val="0"/>
              <w:jc w:val="center"/>
              <w:rPr>
                <w:rFonts w:ascii="宋体" w:hAnsi="宋体" w:cs="宋体" w:hint="eastAsia"/>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B63A52" w:rsidRDefault="00B63A52">
            <w:pPr>
              <w:widowControl/>
              <w:snapToGrid w:val="0"/>
              <w:jc w:val="center"/>
              <w:rPr>
                <w:rFonts w:ascii="宋体" w:hAnsi="宋体" w:cs="宋体" w:hint="eastAsia"/>
                <w:kern w:val="0"/>
                <w:sz w:val="15"/>
                <w:szCs w:val="15"/>
              </w:rPr>
            </w:pPr>
            <w:r>
              <w:rPr>
                <w:rFonts w:hint="eastAsia"/>
                <w:spacing w:val="10"/>
                <w:sz w:val="15"/>
                <w:szCs w:val="15"/>
              </w:rPr>
              <w:t>×</w:t>
            </w:r>
          </w:p>
        </w:tc>
      </w:tr>
    </w:tbl>
    <w:p w:rsidR="00B63A52" w:rsidRDefault="00B63A52" w:rsidP="00B63A52">
      <w:pPr>
        <w:pStyle w:val="ab"/>
        <w:spacing w:before="0" w:after="0" w:line="240" w:lineRule="auto"/>
        <w:ind w:firstLineChars="200" w:firstLine="340"/>
        <w:jc w:val="center"/>
        <w:rPr>
          <w:rFonts w:hint="eastAsia"/>
          <w:b/>
          <w:spacing w:val="10"/>
          <w:sz w:val="15"/>
          <w:szCs w:val="15"/>
        </w:rPr>
      </w:pPr>
      <w:r>
        <w:rPr>
          <w:rFonts w:hint="eastAsia"/>
          <w:spacing w:val="10"/>
          <w:sz w:val="15"/>
          <w:szCs w:val="15"/>
        </w:rPr>
        <w:t>备注：√代表可以购买；×代表不能购买。</w:t>
      </w:r>
    </w:p>
    <w:p w:rsidR="00B63A52" w:rsidRDefault="00B63A52" w:rsidP="00B63A52">
      <w:pPr>
        <w:pStyle w:val="ab"/>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南银理财按照对应期次《理财产品说明书》约定的方式、渠道和频率进行信息披露。投资者应密切关注与本理财产品有关的信息披露，以免造成不必要的损失。</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投资者预留在南银理财或销售机构的有效联系方式变更的，应及时通知南银理财或销售机构。</w:t>
      </w:r>
      <w:r>
        <w:rPr>
          <w:rFonts w:hint="eastAsia"/>
          <w:b/>
          <w:spacing w:val="10"/>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B63A52" w:rsidRDefault="00B63A52" w:rsidP="00B63A52">
      <w:pPr>
        <w:pStyle w:val="ab"/>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南银理财及销售机构承诺依法履行投资者信息保密义务，防范投资者信息被不当采集、使用、传输和泄露，保护投资者的信息安全，法律法规另有规定，或有权机关另有要求的情形除外。</w:t>
      </w:r>
    </w:p>
    <w:p w:rsidR="00B63A52" w:rsidRDefault="00B63A52" w:rsidP="00B63A52">
      <w:pPr>
        <w:pStyle w:val="ab"/>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B63A52" w:rsidRDefault="00B63A52" w:rsidP="00B63A52">
      <w:pPr>
        <w:pStyle w:val="ab"/>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B63A52" w:rsidRDefault="00B63A52" w:rsidP="00B63A52">
      <w:pPr>
        <w:pStyle w:val="ab"/>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（一）南银理财联系方式</w:t>
      </w:r>
    </w:p>
    <w:p w:rsidR="00B63A52" w:rsidRDefault="00B63A52" w:rsidP="00B63A52">
      <w:pPr>
        <w:pStyle w:val="ab"/>
        <w:spacing w:before="0" w:after="0" w:line="240" w:lineRule="auto"/>
        <w:ind w:left="340" w:firstLine="0"/>
        <w:rPr>
          <w:bCs/>
          <w:spacing w:val="10"/>
          <w:sz w:val="15"/>
          <w:szCs w:val="15"/>
        </w:rPr>
      </w:pPr>
      <w:r>
        <w:rPr>
          <w:rFonts w:hint="eastAsia"/>
          <w:bCs/>
          <w:spacing w:val="10"/>
          <w:sz w:val="15"/>
          <w:szCs w:val="15"/>
        </w:rPr>
        <w:t>地址：南京市建</w:t>
      </w:r>
      <w:proofErr w:type="gramStart"/>
      <w:r>
        <w:rPr>
          <w:rFonts w:hint="eastAsia"/>
          <w:bCs/>
          <w:spacing w:val="10"/>
          <w:sz w:val="15"/>
          <w:szCs w:val="15"/>
        </w:rPr>
        <w:t>邺</w:t>
      </w:r>
      <w:proofErr w:type="gramEnd"/>
      <w:r>
        <w:rPr>
          <w:rFonts w:hint="eastAsia"/>
          <w:bCs/>
          <w:spacing w:val="10"/>
          <w:sz w:val="15"/>
          <w:szCs w:val="15"/>
        </w:rPr>
        <w:t>区庐山路</w:t>
      </w:r>
      <w:r>
        <w:rPr>
          <w:bCs/>
          <w:spacing w:val="10"/>
          <w:sz w:val="15"/>
          <w:szCs w:val="15"/>
        </w:rPr>
        <w:t>242</w:t>
      </w:r>
      <w:r>
        <w:rPr>
          <w:rFonts w:hint="eastAsia"/>
          <w:bCs/>
          <w:spacing w:val="10"/>
          <w:sz w:val="15"/>
          <w:szCs w:val="15"/>
        </w:rPr>
        <w:t>号</w:t>
      </w:r>
      <w:r>
        <w:rPr>
          <w:bCs/>
          <w:spacing w:val="10"/>
          <w:sz w:val="15"/>
          <w:szCs w:val="15"/>
        </w:rPr>
        <w:t>2</w:t>
      </w:r>
      <w:r>
        <w:rPr>
          <w:rFonts w:hint="eastAsia"/>
          <w:bCs/>
          <w:spacing w:val="10"/>
          <w:sz w:val="15"/>
          <w:szCs w:val="15"/>
        </w:rPr>
        <w:t>号楼</w:t>
      </w:r>
      <w:r>
        <w:rPr>
          <w:bCs/>
          <w:spacing w:val="10"/>
          <w:sz w:val="15"/>
          <w:szCs w:val="15"/>
        </w:rPr>
        <w:t>14-16</w:t>
      </w:r>
      <w:r>
        <w:rPr>
          <w:rFonts w:hint="eastAsia"/>
          <w:bCs/>
          <w:spacing w:val="10"/>
          <w:sz w:val="15"/>
          <w:szCs w:val="15"/>
        </w:rPr>
        <w:t>层</w:t>
      </w:r>
    </w:p>
    <w:p w:rsidR="00B63A52" w:rsidRDefault="00B63A52" w:rsidP="00B63A52">
      <w:pPr>
        <w:pStyle w:val="ab"/>
        <w:spacing w:before="0" w:after="0" w:line="240" w:lineRule="auto"/>
        <w:ind w:left="340" w:firstLine="0"/>
        <w:rPr>
          <w:bCs/>
          <w:spacing w:val="10"/>
          <w:sz w:val="15"/>
          <w:szCs w:val="15"/>
        </w:rPr>
      </w:pPr>
      <w:r>
        <w:rPr>
          <w:rFonts w:hint="eastAsia"/>
          <w:bCs/>
          <w:spacing w:val="10"/>
          <w:sz w:val="15"/>
          <w:szCs w:val="15"/>
        </w:rPr>
        <w:t>电话：</w:t>
      </w:r>
      <w:r>
        <w:rPr>
          <w:bCs/>
          <w:spacing w:val="10"/>
          <w:sz w:val="15"/>
          <w:szCs w:val="15"/>
        </w:rPr>
        <w:t xml:space="preserve">4001195302 </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（二）销售机构联系方式</w:t>
      </w:r>
    </w:p>
    <w:p w:rsidR="00B63A52" w:rsidRDefault="00B63A52" w:rsidP="00B63A52">
      <w:pPr>
        <w:pStyle w:val="ab"/>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B63A52" w:rsidRDefault="00B63A52" w:rsidP="00B63A52">
      <w:pPr>
        <w:pStyle w:val="ab"/>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B63A52" w:rsidRDefault="00B63A52" w:rsidP="00B63A52">
      <w:pPr>
        <w:pStyle w:val="ab"/>
        <w:spacing w:before="0" w:after="0" w:line="240" w:lineRule="auto"/>
        <w:ind w:firstLineChars="200" w:firstLine="341"/>
        <w:rPr>
          <w:b/>
          <w:spacing w:val="10"/>
          <w:sz w:val="15"/>
          <w:szCs w:val="15"/>
        </w:rPr>
      </w:pPr>
    </w:p>
    <w:p w:rsidR="00B63A52" w:rsidRDefault="00B63A52" w:rsidP="00B63A52">
      <w:pPr>
        <w:pStyle w:val="ab"/>
        <w:spacing w:before="0" w:after="0" w:line="240" w:lineRule="auto"/>
        <w:ind w:firstLine="0"/>
        <w:jc w:val="both"/>
        <w:rPr>
          <w:b/>
          <w:spacing w:val="10"/>
          <w:sz w:val="15"/>
          <w:szCs w:val="15"/>
          <w:u w:val="single"/>
        </w:rPr>
      </w:pPr>
    </w:p>
    <w:p w:rsidR="00B63A52" w:rsidRDefault="00B63A52" w:rsidP="00B63A52">
      <w:pPr>
        <w:pStyle w:val="ab"/>
        <w:spacing w:before="0" w:after="0" w:line="240" w:lineRule="auto"/>
        <w:ind w:firstLine="0"/>
        <w:jc w:val="center"/>
        <w:rPr>
          <w:b/>
          <w:spacing w:val="10"/>
          <w:sz w:val="15"/>
          <w:szCs w:val="15"/>
          <w:u w:val="single"/>
        </w:rPr>
      </w:pPr>
      <w:r>
        <w:rPr>
          <w:rFonts w:hint="eastAsia"/>
          <w:b/>
          <w:spacing w:val="10"/>
          <w:sz w:val="15"/>
          <w:szCs w:val="15"/>
          <w:u w:val="single"/>
        </w:rPr>
        <w:t>仔细阅读提示</w:t>
      </w:r>
    </w:p>
    <w:p w:rsidR="00B63A52" w:rsidRDefault="00B63A52" w:rsidP="00B63A52">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B63A52" w:rsidRDefault="00B63A52" w:rsidP="00B63A52">
      <w:pPr>
        <w:widowControl/>
        <w:jc w:val="left"/>
        <w:rPr>
          <w:b/>
          <w:spacing w:val="10"/>
          <w:kern w:val="0"/>
          <w:sz w:val="15"/>
          <w:szCs w:val="15"/>
          <w:u w:val="single"/>
        </w:rPr>
        <w:sectPr w:rsidR="00B63A52">
          <w:pgSz w:w="11906" w:h="16838"/>
          <w:pgMar w:top="720" w:right="720" w:bottom="720" w:left="720" w:header="851" w:footer="992" w:gutter="0"/>
          <w:cols w:space="720"/>
          <w:docGrid w:type="lines" w:linePitch="312"/>
        </w:sect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r>
        <w:rPr>
          <w:rFonts w:eastAsia="黑体" w:hint="eastAsia"/>
          <w:b/>
          <w:bCs/>
          <w:sz w:val="24"/>
          <w:szCs w:val="15"/>
        </w:rPr>
        <w:t>理财产品销售协议书</w:t>
      </w:r>
    </w:p>
    <w:p w:rsidR="00B63A52" w:rsidRDefault="00B63A52" w:rsidP="00B63A52">
      <w:pPr>
        <w:tabs>
          <w:tab w:val="left" w:pos="0"/>
        </w:tabs>
        <w:jc w:val="center"/>
        <w:rPr>
          <w:rFonts w:eastAsia="宋体"/>
          <w:sz w:val="18"/>
        </w:rP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p>
    <w:p w:rsidR="00B63A52" w:rsidRDefault="00B63A52" w:rsidP="00B63A52">
      <w:pPr>
        <w:tabs>
          <w:tab w:val="left" w:pos="0"/>
        </w:tabs>
        <w:jc w:val="center"/>
      </w:pPr>
      <w:r>
        <w:rPr>
          <w:rFonts w:hint="eastAsia"/>
        </w:rPr>
        <w:t>编制单位：</w:t>
      </w:r>
      <w:r>
        <w:rPr>
          <w:rFonts w:hint="eastAsia"/>
          <w:u w:val="single"/>
        </w:rPr>
        <w:t>南银理财有限责任公司</w:t>
      </w:r>
    </w:p>
    <w:p w:rsidR="00B63A52" w:rsidRDefault="00B63A52" w:rsidP="00B63A52">
      <w:pPr>
        <w:spacing w:line="0" w:lineRule="atLeast"/>
        <w:ind w:firstLineChars="2000" w:firstLine="4200"/>
        <w:rPr>
          <w:rFonts w:eastAsia="黑体"/>
          <w:b/>
          <w:bCs/>
          <w:sz w:val="24"/>
          <w:szCs w:val="15"/>
        </w:rPr>
      </w:pPr>
      <w:r>
        <w:rPr>
          <w:rFonts w:hint="eastAsia"/>
        </w:rPr>
        <w:t>版次号：</w:t>
      </w:r>
      <w:r>
        <w:rPr>
          <w:u w:val="single"/>
        </w:rPr>
        <w:t>2021</w:t>
      </w:r>
      <w:r>
        <w:rPr>
          <w:rFonts w:hint="eastAsia"/>
          <w:u w:val="single"/>
        </w:rPr>
        <w:t>第</w:t>
      </w:r>
      <w:r>
        <w:rPr>
          <w:u w:val="single"/>
        </w:rPr>
        <w:t>2</w:t>
      </w:r>
      <w:r>
        <w:rPr>
          <w:rFonts w:hint="eastAsia"/>
          <w:u w:val="single"/>
        </w:rPr>
        <w:t>版</w:t>
      </w:r>
      <w:r>
        <w:br w:type="page"/>
      </w:r>
    </w:p>
    <w:p w:rsidR="00B63A52" w:rsidRDefault="00B63A52" w:rsidP="00B63A52">
      <w:pPr>
        <w:adjustRightInd w:val="0"/>
        <w:snapToGrid w:val="0"/>
        <w:spacing w:line="0" w:lineRule="atLeast"/>
        <w:rPr>
          <w:rFonts w:eastAsia="宋体"/>
          <w:b/>
          <w:bCs/>
          <w:sz w:val="18"/>
        </w:rPr>
      </w:pPr>
      <w:r>
        <w:rPr>
          <w:rFonts w:hint="eastAsia"/>
          <w:b/>
          <w:bCs/>
        </w:rPr>
        <w:lastRenderedPageBreak/>
        <w:t>风险提示：</w:t>
      </w:r>
    </w:p>
    <w:p w:rsidR="00B63A52" w:rsidRDefault="00B63A52" w:rsidP="00B63A52">
      <w:pPr>
        <w:adjustRightInd w:val="0"/>
        <w:snapToGrid w:val="0"/>
        <w:spacing w:line="0" w:lineRule="atLeast"/>
        <w:rPr>
          <w:b/>
          <w:bCs/>
        </w:rPr>
      </w:pPr>
      <w:r>
        <w:rPr>
          <w:rFonts w:hint="eastAsia"/>
          <w:b/>
          <w:bCs/>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B63A52" w:rsidRDefault="00B63A52" w:rsidP="00B63A52">
      <w:pPr>
        <w:tabs>
          <w:tab w:val="left" w:pos="7920"/>
          <w:tab w:val="left" w:pos="8100"/>
        </w:tabs>
        <w:spacing w:line="0" w:lineRule="atLeast"/>
        <w:rPr>
          <w:b/>
          <w:bCs/>
          <w:szCs w:val="18"/>
        </w:rPr>
      </w:pPr>
    </w:p>
    <w:p w:rsidR="00B63A52" w:rsidRDefault="00B63A52" w:rsidP="00B63A52">
      <w:pPr>
        <w:spacing w:line="0" w:lineRule="atLeast"/>
        <w:jc w:val="center"/>
        <w:rPr>
          <w:rFonts w:eastAsia="黑体"/>
          <w:b/>
          <w:bCs/>
          <w:sz w:val="24"/>
          <w:szCs w:val="15"/>
        </w:rPr>
      </w:pPr>
    </w:p>
    <w:p w:rsidR="00B63A52" w:rsidRDefault="00B63A52" w:rsidP="00B63A52">
      <w:pPr>
        <w:spacing w:line="0" w:lineRule="atLeast"/>
        <w:jc w:val="center"/>
        <w:rPr>
          <w:rFonts w:eastAsia="黑体"/>
          <w:b/>
          <w:bCs/>
          <w:sz w:val="24"/>
          <w:szCs w:val="15"/>
        </w:rPr>
      </w:pPr>
      <w:r>
        <w:rPr>
          <w:rFonts w:eastAsia="黑体" w:hint="eastAsia"/>
          <w:b/>
          <w:bCs/>
          <w:sz w:val="24"/>
          <w:szCs w:val="15"/>
        </w:rPr>
        <w:t>理财产品销售协议书</w:t>
      </w:r>
    </w:p>
    <w:p w:rsidR="00B63A52" w:rsidRDefault="00B63A52" w:rsidP="00B63A52">
      <w:pPr>
        <w:spacing w:line="200" w:lineRule="exact"/>
        <w:ind w:firstLineChars="200" w:firstLine="300"/>
        <w:rPr>
          <w:rFonts w:eastAsia="方正细黑一简体"/>
          <w:sz w:val="15"/>
          <w:szCs w:val="15"/>
        </w:rPr>
      </w:pPr>
    </w:p>
    <w:p w:rsidR="00B63A52" w:rsidRDefault="00B63A52" w:rsidP="00B63A52">
      <w:pPr>
        <w:spacing w:line="200" w:lineRule="exact"/>
        <w:ind w:firstLineChars="200" w:firstLine="300"/>
        <w:rPr>
          <w:rFonts w:eastAsia="方正细黑一简体"/>
          <w:sz w:val="15"/>
          <w:szCs w:val="15"/>
        </w:rPr>
      </w:pPr>
      <w:r>
        <w:rPr>
          <w:rFonts w:eastAsia="方正细黑一简体" w:hint="eastAsia"/>
          <w:sz w:val="15"/>
          <w:szCs w:val="15"/>
        </w:rPr>
        <w:t>经甲方（南银理财有限责任公司，以下简称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B63A52" w:rsidRDefault="00B63A52" w:rsidP="00B63A52">
      <w:pPr>
        <w:numPr>
          <w:ilvl w:val="0"/>
          <w:numId w:val="17"/>
        </w:numPr>
        <w:spacing w:line="200" w:lineRule="exact"/>
        <w:ind w:firstLineChars="200" w:firstLine="341"/>
        <w:rPr>
          <w:rFonts w:eastAsia="宋体"/>
          <w:b/>
          <w:bCs/>
          <w:spacing w:val="10"/>
          <w:sz w:val="15"/>
          <w:szCs w:val="15"/>
        </w:rPr>
      </w:pPr>
      <w:r>
        <w:rPr>
          <w:rFonts w:hint="eastAsia"/>
          <w:b/>
          <w:bCs/>
          <w:spacing w:val="10"/>
          <w:sz w:val="15"/>
          <w:szCs w:val="15"/>
        </w:rPr>
        <w:t>名词释义</w:t>
      </w:r>
    </w:p>
    <w:p w:rsidR="00B63A52" w:rsidRDefault="00B63A52" w:rsidP="00B63A52">
      <w:pPr>
        <w:pStyle w:val="11"/>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B63A52" w:rsidRDefault="00B63A52" w:rsidP="00B63A52">
      <w:pPr>
        <w:numPr>
          <w:ilvl w:val="0"/>
          <w:numId w:val="17"/>
        </w:numPr>
        <w:spacing w:line="200" w:lineRule="exact"/>
        <w:ind w:firstLineChars="200" w:firstLine="341"/>
        <w:rPr>
          <w:b/>
          <w:bCs/>
          <w:spacing w:val="10"/>
          <w:sz w:val="15"/>
          <w:szCs w:val="15"/>
        </w:rPr>
      </w:pPr>
      <w:r>
        <w:rPr>
          <w:rFonts w:hint="eastAsia"/>
          <w:b/>
          <w:bCs/>
          <w:spacing w:val="10"/>
          <w:sz w:val="15"/>
          <w:szCs w:val="15"/>
        </w:rPr>
        <w:t>销售机构</w:t>
      </w:r>
    </w:p>
    <w:p w:rsidR="00B63A52" w:rsidRDefault="00B63A52" w:rsidP="00B63A52">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B63A52" w:rsidRDefault="00B63A52" w:rsidP="00B63A52">
      <w:pPr>
        <w:numPr>
          <w:ilvl w:val="0"/>
          <w:numId w:val="17"/>
        </w:numPr>
        <w:spacing w:line="200" w:lineRule="exact"/>
        <w:ind w:firstLineChars="200" w:firstLine="341"/>
        <w:rPr>
          <w:b/>
          <w:bCs/>
          <w:spacing w:val="10"/>
          <w:sz w:val="15"/>
          <w:szCs w:val="15"/>
        </w:rPr>
      </w:pPr>
      <w:r>
        <w:rPr>
          <w:rFonts w:hint="eastAsia"/>
          <w:b/>
          <w:bCs/>
          <w:spacing w:val="10"/>
          <w:sz w:val="15"/>
          <w:szCs w:val="15"/>
        </w:rPr>
        <w:t>甲方的权利与义务：</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由于投资管理或者获取投资标的</w:t>
      </w:r>
      <w:proofErr w:type="gramStart"/>
      <w:r>
        <w:rPr>
          <w:rFonts w:hint="eastAsia"/>
          <w:spacing w:val="10"/>
          <w:sz w:val="15"/>
          <w:szCs w:val="15"/>
        </w:rPr>
        <w:t>的</w:t>
      </w:r>
      <w:proofErr w:type="gramEnd"/>
      <w:r>
        <w:rPr>
          <w:rFonts w:hint="eastAsia"/>
          <w:spacing w:val="10"/>
          <w:sz w:val="15"/>
          <w:szCs w:val="15"/>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B63A52" w:rsidRDefault="00B63A52" w:rsidP="00B63A52">
      <w:pPr>
        <w:numPr>
          <w:ilvl w:val="0"/>
          <w:numId w:val="18"/>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B63A52" w:rsidRDefault="00B63A52" w:rsidP="00B63A52">
      <w:pPr>
        <w:numPr>
          <w:ilvl w:val="0"/>
          <w:numId w:val="18"/>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B63A52" w:rsidRDefault="00B63A52" w:rsidP="00B63A52">
      <w:pPr>
        <w:numPr>
          <w:ilvl w:val="0"/>
          <w:numId w:val="18"/>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B63A52" w:rsidRDefault="00B63A52" w:rsidP="00B63A52">
      <w:pPr>
        <w:numPr>
          <w:ilvl w:val="0"/>
          <w:numId w:val="18"/>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B63A52" w:rsidRDefault="00B63A52" w:rsidP="00B63A52">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乙方应接</w:t>
      </w:r>
      <w:proofErr w:type="gramStart"/>
      <w:r>
        <w:rPr>
          <w:rFonts w:hint="eastAsia"/>
          <w:spacing w:val="10"/>
          <w:sz w:val="15"/>
          <w:szCs w:val="15"/>
        </w:rPr>
        <w:t>受销售</w:t>
      </w:r>
      <w:proofErr w:type="gramEnd"/>
      <w:r>
        <w:rPr>
          <w:rFonts w:hint="eastAsia"/>
          <w:spacing w:val="10"/>
          <w:sz w:val="15"/>
          <w:szCs w:val="15"/>
        </w:rPr>
        <w:t>机构对其投资风险承受能力进行的测评。（个人投资者适用）</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乙方保证，</w:t>
      </w:r>
      <w:proofErr w:type="gramStart"/>
      <w:r>
        <w:rPr>
          <w:rFonts w:hint="eastAsia"/>
          <w:spacing w:val="10"/>
          <w:sz w:val="15"/>
          <w:szCs w:val="15"/>
        </w:rPr>
        <w:t>乙方系符合</w:t>
      </w:r>
      <w:proofErr w:type="gramEnd"/>
      <w:r>
        <w:rPr>
          <w:rFonts w:hint="eastAsia"/>
          <w:spacing w:val="10"/>
          <w:sz w:val="15"/>
          <w:szCs w:val="15"/>
        </w:rPr>
        <w:t>监管规定要求的合格投资者。（私募产品投资者适用）</w:t>
      </w:r>
    </w:p>
    <w:p w:rsidR="00B63A52" w:rsidRDefault="00B63A52" w:rsidP="00B63A52">
      <w:pPr>
        <w:numPr>
          <w:ilvl w:val="0"/>
          <w:numId w:val="19"/>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B63A52" w:rsidRDefault="00B63A52" w:rsidP="00B63A52">
      <w:pPr>
        <w:numPr>
          <w:ilvl w:val="0"/>
          <w:numId w:val="19"/>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w:t>
      </w:r>
      <w:proofErr w:type="spellStart"/>
      <w:r>
        <w:rPr>
          <w:spacing w:val="10"/>
          <w:sz w:val="15"/>
          <w:szCs w:val="15"/>
        </w:rPr>
        <w:t>i</w:t>
      </w:r>
      <w:proofErr w:type="spellEnd"/>
      <w:r>
        <w:rPr>
          <w:spacing w:val="10"/>
          <w:sz w:val="15"/>
          <w:szCs w:val="15"/>
        </w:rPr>
        <w:t>)</w:t>
      </w:r>
      <w:r>
        <w:rPr>
          <w:rFonts w:hint="eastAsia"/>
          <w:spacing w:val="10"/>
          <w:sz w:val="15"/>
          <w:szCs w:val="15"/>
        </w:rPr>
        <w:t>任何适用法律、法规、法令或法律限制，任何法院或其他政府机关所</w:t>
      </w:r>
      <w:proofErr w:type="gramStart"/>
      <w:r>
        <w:rPr>
          <w:rFonts w:hint="eastAsia"/>
          <w:spacing w:val="10"/>
          <w:sz w:val="15"/>
          <w:szCs w:val="15"/>
        </w:rPr>
        <w:t>作出</w:t>
      </w:r>
      <w:proofErr w:type="gramEnd"/>
      <w:r>
        <w:rPr>
          <w:rFonts w:hint="eastAsia"/>
          <w:spacing w:val="10"/>
          <w:sz w:val="15"/>
          <w:szCs w:val="15"/>
        </w:rPr>
        <w:t>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w:t>
      </w:r>
      <w:r>
        <w:rPr>
          <w:rFonts w:hint="eastAsia"/>
          <w:spacing w:val="10"/>
          <w:sz w:val="15"/>
          <w:szCs w:val="15"/>
        </w:rPr>
        <w:lastRenderedPageBreak/>
        <w:t>签署本协议的同时按照对应期次的《理财产品说明书》的约定在授权指定账户存入足额的资金以确保账户余额大于或等于认购或申购金额。</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B63A52" w:rsidRDefault="00B63A52" w:rsidP="00B63A52">
      <w:pPr>
        <w:pStyle w:val="a9"/>
        <w:numPr>
          <w:ilvl w:val="0"/>
          <w:numId w:val="19"/>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B63A52" w:rsidRDefault="00B63A52" w:rsidP="00B63A52">
      <w:pPr>
        <w:numPr>
          <w:ilvl w:val="0"/>
          <w:numId w:val="19"/>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B63A52" w:rsidRDefault="00B63A52" w:rsidP="00B63A52">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B63A52" w:rsidRDefault="00B63A52" w:rsidP="00B63A52">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hint="eastAsia"/>
          <w:spacing w:val="10"/>
          <w:sz w:val="15"/>
          <w:szCs w:val="15"/>
        </w:rPr>
        <w:t>涉恐及反洗</w:t>
      </w:r>
      <w:proofErr w:type="gramEnd"/>
      <w:r>
        <w:rPr>
          <w:rFonts w:hint="eastAsia"/>
          <w:spacing w:val="10"/>
          <w:sz w:val="15"/>
          <w:szCs w:val="15"/>
        </w:rPr>
        <w:t>钱相关风险名单；</w:t>
      </w:r>
      <w:proofErr w:type="gramStart"/>
      <w:r>
        <w:rPr>
          <w:rFonts w:hint="eastAsia"/>
          <w:spacing w:val="10"/>
          <w:sz w:val="15"/>
          <w:szCs w:val="15"/>
        </w:rPr>
        <w:t>不</w:t>
      </w:r>
      <w:proofErr w:type="gramEnd"/>
      <w:r>
        <w:rPr>
          <w:rFonts w:hint="eastAsia"/>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B63A52" w:rsidRDefault="00B63A52" w:rsidP="00B63A52">
      <w:pPr>
        <w:numPr>
          <w:ilvl w:val="0"/>
          <w:numId w:val="19"/>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B63A52" w:rsidRDefault="00B63A52" w:rsidP="00B63A52">
      <w:pPr>
        <w:numPr>
          <w:ilvl w:val="0"/>
          <w:numId w:val="19"/>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B63A52" w:rsidRDefault="00B63A52" w:rsidP="00B63A52">
      <w:pPr>
        <w:numPr>
          <w:ilvl w:val="0"/>
          <w:numId w:val="19"/>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B63A52" w:rsidRDefault="00B63A52" w:rsidP="00B63A52">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B63A52" w:rsidRDefault="00B63A52" w:rsidP="00B63A52">
      <w:pPr>
        <w:numPr>
          <w:ilvl w:val="0"/>
          <w:numId w:val="20"/>
        </w:numPr>
        <w:spacing w:line="200" w:lineRule="exact"/>
        <w:rPr>
          <w:spacing w:val="10"/>
          <w:sz w:val="15"/>
          <w:szCs w:val="15"/>
        </w:rPr>
      </w:pPr>
      <w:r>
        <w:rPr>
          <w:rFonts w:hint="eastAsia"/>
          <w:spacing w:val="10"/>
          <w:sz w:val="15"/>
          <w:szCs w:val="15"/>
        </w:rPr>
        <w:t>理财产品认购或申购：参照《投资者权益须知》约定。</w:t>
      </w:r>
    </w:p>
    <w:p w:rsidR="00B63A52" w:rsidRDefault="00B63A52" w:rsidP="00B63A52">
      <w:pPr>
        <w:numPr>
          <w:ilvl w:val="0"/>
          <w:numId w:val="20"/>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B63A52" w:rsidRDefault="00B63A52" w:rsidP="00B63A52">
      <w:pPr>
        <w:numPr>
          <w:ilvl w:val="0"/>
          <w:numId w:val="20"/>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B63A52" w:rsidRDefault="00B63A52" w:rsidP="00B63A52">
      <w:pPr>
        <w:numPr>
          <w:ilvl w:val="0"/>
          <w:numId w:val="20"/>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B63A52" w:rsidRDefault="00B63A52" w:rsidP="00B63A52">
      <w:pPr>
        <w:numPr>
          <w:ilvl w:val="0"/>
          <w:numId w:val="20"/>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B63A52" w:rsidRDefault="00B63A52" w:rsidP="00B63A52">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B63A52" w:rsidRDefault="00B63A52" w:rsidP="00B63A52">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B63A52" w:rsidRDefault="00B63A52" w:rsidP="00B63A52">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B63A52" w:rsidRDefault="00B63A52" w:rsidP="00B63A52">
      <w:pPr>
        <w:spacing w:line="200" w:lineRule="exact"/>
        <w:ind w:firstLineChars="200" w:firstLine="340"/>
        <w:rPr>
          <w:bCs/>
          <w:spacing w:val="10"/>
          <w:sz w:val="15"/>
          <w:szCs w:val="15"/>
        </w:rPr>
      </w:pPr>
      <w:r>
        <w:rPr>
          <w:rFonts w:hint="eastAsia"/>
          <w:bCs/>
          <w:spacing w:val="10"/>
          <w:sz w:val="15"/>
          <w:szCs w:val="15"/>
        </w:rPr>
        <w:t>在理财产品存续期内，如发生以下事项时，南银理财可对本理财产品行使全部提前终止权：</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理财产品所投资资产部分或全部提前偿付；</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B63A52" w:rsidRDefault="00B63A52" w:rsidP="00B63A52">
      <w:pPr>
        <w:pStyle w:val="11"/>
        <w:numPr>
          <w:ilvl w:val="0"/>
          <w:numId w:val="21"/>
        </w:numPr>
        <w:spacing w:line="200" w:lineRule="exact"/>
        <w:ind w:firstLineChars="0"/>
        <w:rPr>
          <w:bCs/>
          <w:spacing w:val="10"/>
          <w:sz w:val="15"/>
          <w:szCs w:val="15"/>
        </w:rPr>
      </w:pPr>
      <w:r>
        <w:rPr>
          <w:rFonts w:hint="eastAsia"/>
          <w:bCs/>
          <w:spacing w:val="10"/>
          <w:sz w:val="15"/>
          <w:szCs w:val="15"/>
        </w:rPr>
        <w:t>南银理财</w:t>
      </w:r>
      <w:proofErr w:type="gramStart"/>
      <w:r>
        <w:rPr>
          <w:rFonts w:hint="eastAsia"/>
          <w:bCs/>
          <w:spacing w:val="10"/>
          <w:sz w:val="15"/>
          <w:szCs w:val="15"/>
        </w:rPr>
        <w:t>合理认为</w:t>
      </w:r>
      <w:proofErr w:type="gramEnd"/>
      <w:r>
        <w:rPr>
          <w:rFonts w:hint="eastAsia"/>
          <w:bCs/>
          <w:spacing w:val="10"/>
          <w:sz w:val="15"/>
          <w:szCs w:val="15"/>
        </w:rPr>
        <w:t>应该提前终止本理财产品的其他情况。</w:t>
      </w:r>
    </w:p>
    <w:p w:rsidR="00B63A52" w:rsidRDefault="00B63A52" w:rsidP="00B63A52">
      <w:pPr>
        <w:pStyle w:val="11"/>
        <w:spacing w:line="200" w:lineRule="exact"/>
        <w:ind w:left="340" w:firstLineChars="0" w:firstLine="0"/>
        <w:rPr>
          <w:bCs/>
          <w:spacing w:val="10"/>
          <w:sz w:val="15"/>
          <w:szCs w:val="15"/>
        </w:rPr>
      </w:pPr>
      <w:r>
        <w:rPr>
          <w:rFonts w:hint="eastAsia"/>
          <w:bCs/>
          <w:spacing w:val="10"/>
          <w:sz w:val="15"/>
          <w:szCs w:val="15"/>
        </w:rPr>
        <w:t>南银理财如提前终止本理财产品，应根据本理财产品销售文件约定的方式进行信息披露。</w:t>
      </w:r>
    </w:p>
    <w:p w:rsidR="00B63A52" w:rsidRDefault="00B63A52" w:rsidP="00B63A52">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B63A52" w:rsidRDefault="00B63A52" w:rsidP="00B63A52">
      <w:pPr>
        <w:spacing w:line="200" w:lineRule="exact"/>
        <w:ind w:left="340"/>
        <w:rPr>
          <w:bCs/>
          <w:spacing w:val="10"/>
          <w:sz w:val="15"/>
          <w:szCs w:val="15"/>
        </w:rPr>
      </w:pPr>
      <w:r>
        <w:rPr>
          <w:rFonts w:hint="eastAsia"/>
          <w:bCs/>
          <w:spacing w:val="10"/>
          <w:sz w:val="15"/>
          <w:szCs w:val="15"/>
        </w:rPr>
        <w:t>在理财产品存续期内，如发生以下事项时，南银理财有权推迟本理财产品终止日：</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产品到期</w:t>
      </w:r>
      <w:proofErr w:type="gramStart"/>
      <w:r>
        <w:rPr>
          <w:rFonts w:hint="eastAsia"/>
          <w:bCs/>
          <w:spacing w:val="10"/>
          <w:sz w:val="15"/>
          <w:szCs w:val="15"/>
        </w:rPr>
        <w:t>日遇非工作日</w:t>
      </w:r>
      <w:proofErr w:type="gramEnd"/>
      <w:r>
        <w:rPr>
          <w:rFonts w:hint="eastAsia"/>
          <w:bCs/>
          <w:spacing w:val="10"/>
          <w:sz w:val="15"/>
          <w:szCs w:val="15"/>
        </w:rPr>
        <w:t>，产品到期日顺延至下一工作日；</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因资金在途等原因，导致未能及时收回资金；</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其他管理人认为需要延期的情形；</w:t>
      </w:r>
    </w:p>
    <w:p w:rsidR="00B63A52" w:rsidRDefault="00B63A52" w:rsidP="00B63A52">
      <w:pPr>
        <w:pStyle w:val="11"/>
        <w:numPr>
          <w:ilvl w:val="0"/>
          <w:numId w:val="22"/>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B63A52" w:rsidRDefault="00B63A52" w:rsidP="00B63A52">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如推迟本理财产品到期日，应根据本理财产品销售文件约定的方式进行信息披露。</w:t>
      </w:r>
    </w:p>
    <w:p w:rsidR="00B63A52" w:rsidRDefault="00B63A52" w:rsidP="00B63A52">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B63A52" w:rsidRDefault="00B63A52" w:rsidP="00B63A52">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B63A52" w:rsidRDefault="00B63A52" w:rsidP="00B63A52">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w:t>
      </w:r>
      <w:r>
        <w:rPr>
          <w:rFonts w:hint="eastAsia"/>
          <w:b/>
          <w:bCs/>
          <w:spacing w:val="10"/>
          <w:sz w:val="15"/>
          <w:szCs w:val="15"/>
        </w:rPr>
        <w:lastRenderedPageBreak/>
        <w:t>财产品说明书约定向乙方进行理财产品份额的收益分配并将对应资金划入销售机构账户后，由销售机构向乙方授权指定账户划付对应资金。</w:t>
      </w:r>
    </w:p>
    <w:p w:rsidR="00B63A52" w:rsidRDefault="00B63A52" w:rsidP="00B63A52">
      <w:pPr>
        <w:spacing w:line="200" w:lineRule="exact"/>
        <w:ind w:firstLineChars="200" w:firstLine="340"/>
        <w:rPr>
          <w:bCs/>
          <w:spacing w:val="10"/>
          <w:sz w:val="15"/>
          <w:szCs w:val="15"/>
        </w:rPr>
      </w:pPr>
      <w:r>
        <w:rPr>
          <w:rFonts w:hint="eastAsia"/>
          <w:bCs/>
          <w:spacing w:val="10"/>
          <w:sz w:val="15"/>
          <w:szCs w:val="15"/>
        </w:rPr>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B63A52" w:rsidRDefault="00B63A52" w:rsidP="00B63A52">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B63A52" w:rsidRDefault="00B63A52" w:rsidP="00B63A52">
      <w:pPr>
        <w:spacing w:line="200" w:lineRule="exact"/>
        <w:ind w:firstLineChars="200" w:firstLine="341"/>
        <w:rPr>
          <w:b/>
          <w:spacing w:val="10"/>
          <w:sz w:val="15"/>
          <w:szCs w:val="15"/>
        </w:rPr>
      </w:pPr>
      <w:r>
        <w:rPr>
          <w:rFonts w:hint="eastAsia"/>
          <w:b/>
          <w:spacing w:val="10"/>
          <w:sz w:val="15"/>
          <w:szCs w:val="15"/>
        </w:rPr>
        <w:t>在本理财产品存续期内：</w:t>
      </w:r>
    </w:p>
    <w:p w:rsidR="00B63A52" w:rsidRDefault="00B63A52" w:rsidP="00B63A52">
      <w:pPr>
        <w:numPr>
          <w:ilvl w:val="0"/>
          <w:numId w:val="23"/>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B63A52" w:rsidRDefault="00B63A52" w:rsidP="00B63A52">
      <w:pPr>
        <w:numPr>
          <w:ilvl w:val="0"/>
          <w:numId w:val="23"/>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hint="eastAsia"/>
          <w:b/>
          <w:spacing w:val="10"/>
          <w:sz w:val="15"/>
          <w:szCs w:val="15"/>
        </w:rPr>
        <w:t>理财官网等</w:t>
      </w:r>
      <w:proofErr w:type="gramEnd"/>
      <w:r>
        <w:rPr>
          <w:rFonts w:hint="eastAsia"/>
          <w:b/>
          <w:spacing w:val="1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B63A52" w:rsidRDefault="00B63A52" w:rsidP="00B63A52">
      <w:pPr>
        <w:numPr>
          <w:ilvl w:val="0"/>
          <w:numId w:val="23"/>
        </w:numPr>
        <w:spacing w:line="200" w:lineRule="exact"/>
        <w:ind w:firstLineChars="200" w:firstLine="341"/>
        <w:rPr>
          <w:b/>
          <w:bCs/>
          <w:spacing w:val="10"/>
          <w:sz w:val="15"/>
          <w:szCs w:val="15"/>
        </w:rPr>
      </w:pPr>
      <w:r>
        <w:rPr>
          <w:rFonts w:hint="eastAsia"/>
          <w:b/>
          <w:bCs/>
          <w:spacing w:val="10"/>
          <w:sz w:val="15"/>
          <w:szCs w:val="15"/>
        </w:rPr>
        <w:t>免责条款</w:t>
      </w:r>
    </w:p>
    <w:p w:rsidR="00B63A52" w:rsidRDefault="00B63A52" w:rsidP="00B63A52">
      <w:pPr>
        <w:pStyle w:val="11"/>
        <w:numPr>
          <w:ilvl w:val="0"/>
          <w:numId w:val="24"/>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B63A52" w:rsidRDefault="00B63A52" w:rsidP="00B63A52">
      <w:pPr>
        <w:pStyle w:val="11"/>
        <w:numPr>
          <w:ilvl w:val="0"/>
          <w:numId w:val="24"/>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rFonts w:hint="eastAsia"/>
          <w:b/>
          <w:bCs/>
          <w:spacing w:val="10"/>
          <w:sz w:val="15"/>
          <w:szCs w:val="15"/>
        </w:rPr>
        <w:t>內</w:t>
      </w:r>
      <w:proofErr w:type="gramEnd"/>
      <w:r>
        <w:rPr>
          <w:rFonts w:hint="eastAsia"/>
          <w:b/>
          <w:bCs/>
          <w:spacing w:val="10"/>
          <w:sz w:val="15"/>
          <w:szCs w:val="15"/>
        </w:rPr>
        <w:t>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w:t>
      </w:r>
      <w:proofErr w:type="gramStart"/>
      <w:r>
        <w:rPr>
          <w:rFonts w:hint="eastAsia"/>
          <w:b/>
          <w:bCs/>
          <w:spacing w:val="10"/>
          <w:sz w:val="15"/>
          <w:szCs w:val="15"/>
        </w:rPr>
        <w:t>顺延至紧临</w:t>
      </w:r>
      <w:proofErr w:type="gramEnd"/>
      <w:r>
        <w:rPr>
          <w:rFonts w:hint="eastAsia"/>
          <w:b/>
          <w:bCs/>
          <w:spacing w:val="10"/>
          <w:sz w:val="15"/>
          <w:szCs w:val="15"/>
        </w:rPr>
        <w:t>的下一个不存在不可抗力的工作日。乙方将不会因此而收到额外的收益或者补偿。</w:t>
      </w:r>
    </w:p>
    <w:p w:rsidR="00B63A52" w:rsidRDefault="00B63A52" w:rsidP="00B63A52">
      <w:pPr>
        <w:pStyle w:val="11"/>
        <w:numPr>
          <w:ilvl w:val="0"/>
          <w:numId w:val="24"/>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B63A52" w:rsidRDefault="00B63A52" w:rsidP="00B63A52">
      <w:pPr>
        <w:pStyle w:val="11"/>
        <w:numPr>
          <w:ilvl w:val="0"/>
          <w:numId w:val="24"/>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B63A52" w:rsidRDefault="00B63A52" w:rsidP="00B63A52">
      <w:pPr>
        <w:numPr>
          <w:ilvl w:val="0"/>
          <w:numId w:val="23"/>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B63A52" w:rsidRDefault="00B63A52" w:rsidP="00B63A52">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B63A52" w:rsidRDefault="00B63A52" w:rsidP="00B63A52">
      <w:pPr>
        <w:spacing w:line="200" w:lineRule="exact"/>
        <w:ind w:firstLineChars="200" w:firstLine="340"/>
        <w:rPr>
          <w:spacing w:val="10"/>
          <w:sz w:val="15"/>
          <w:szCs w:val="15"/>
        </w:rPr>
      </w:pPr>
      <w:r>
        <w:rPr>
          <w:rFonts w:hint="eastAsia"/>
          <w:spacing w:val="10"/>
          <w:sz w:val="15"/>
          <w:szCs w:val="15"/>
        </w:rPr>
        <w:t>双方承诺，如果任何一方在协议项下</w:t>
      </w:r>
      <w:proofErr w:type="gramStart"/>
      <w:r>
        <w:rPr>
          <w:rFonts w:hint="eastAsia"/>
          <w:spacing w:val="10"/>
          <w:sz w:val="15"/>
          <w:szCs w:val="15"/>
        </w:rPr>
        <w:t>作出</w:t>
      </w:r>
      <w:proofErr w:type="gramEnd"/>
      <w:r>
        <w:rPr>
          <w:rFonts w:hint="eastAsia"/>
          <w:spacing w:val="10"/>
          <w:sz w:val="15"/>
          <w:szCs w:val="15"/>
        </w:rPr>
        <w:t>错误的陈述、保证或者违反任何陈述、保证或其他协议约定而导致另一方发生任何损失、责任、支出或者被提出主张、诉讼或要求，违约方应向另一方</w:t>
      </w:r>
      <w:proofErr w:type="gramStart"/>
      <w:r>
        <w:rPr>
          <w:rFonts w:hint="eastAsia"/>
          <w:spacing w:val="10"/>
          <w:sz w:val="15"/>
          <w:szCs w:val="15"/>
        </w:rPr>
        <w:t>作出</w:t>
      </w:r>
      <w:proofErr w:type="gramEnd"/>
      <w:r>
        <w:rPr>
          <w:rFonts w:hint="eastAsia"/>
          <w:spacing w:val="10"/>
          <w:sz w:val="15"/>
          <w:szCs w:val="15"/>
        </w:rPr>
        <w:t>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B63A52" w:rsidRDefault="00B63A52" w:rsidP="00B63A52">
      <w:pPr>
        <w:numPr>
          <w:ilvl w:val="0"/>
          <w:numId w:val="23"/>
        </w:numPr>
        <w:spacing w:line="200" w:lineRule="exact"/>
        <w:ind w:firstLineChars="200" w:firstLine="340"/>
        <w:rPr>
          <w:spacing w:val="10"/>
          <w:sz w:val="15"/>
          <w:szCs w:val="15"/>
        </w:rPr>
      </w:pPr>
      <w:proofErr w:type="gramStart"/>
      <w:r>
        <w:rPr>
          <w:rFonts w:hint="eastAsia"/>
          <w:bCs/>
          <w:spacing w:val="10"/>
          <w:sz w:val="15"/>
          <w:szCs w:val="15"/>
        </w:rPr>
        <w:t>抵销</w:t>
      </w:r>
      <w:proofErr w:type="gramEnd"/>
    </w:p>
    <w:p w:rsidR="00B63A52" w:rsidRDefault="00B63A52" w:rsidP="00B63A52">
      <w:pPr>
        <w:pStyle w:val="11"/>
        <w:numPr>
          <w:ilvl w:val="0"/>
          <w:numId w:val="25"/>
        </w:numPr>
        <w:spacing w:line="200" w:lineRule="exact"/>
        <w:ind w:firstLineChars="0"/>
        <w:rPr>
          <w:bCs/>
          <w:spacing w:val="10"/>
          <w:sz w:val="15"/>
          <w:szCs w:val="15"/>
        </w:rPr>
      </w:pPr>
      <w:r>
        <w:rPr>
          <w:rFonts w:hint="eastAsia"/>
          <w:b/>
          <w:spacing w:val="10"/>
          <w:sz w:val="15"/>
          <w:szCs w:val="15"/>
        </w:rPr>
        <w:t>除享有法律规定的或其他的</w:t>
      </w:r>
      <w:proofErr w:type="gramStart"/>
      <w:r>
        <w:rPr>
          <w:rFonts w:hint="eastAsia"/>
          <w:b/>
          <w:spacing w:val="10"/>
          <w:sz w:val="15"/>
          <w:szCs w:val="15"/>
        </w:rPr>
        <w:t>抵销</w:t>
      </w:r>
      <w:proofErr w:type="gramEnd"/>
      <w:r>
        <w:rPr>
          <w:rFonts w:hint="eastAsia"/>
          <w:b/>
          <w:spacing w:val="10"/>
          <w:sz w:val="15"/>
          <w:szCs w:val="15"/>
        </w:rPr>
        <w:t>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w:t>
      </w:r>
      <w:proofErr w:type="gramStart"/>
      <w:r>
        <w:rPr>
          <w:rFonts w:hint="eastAsia"/>
          <w:b/>
          <w:spacing w:val="10"/>
          <w:sz w:val="15"/>
          <w:szCs w:val="15"/>
        </w:rPr>
        <w:t>抵销</w:t>
      </w:r>
      <w:proofErr w:type="gramEnd"/>
      <w:r>
        <w:rPr>
          <w:rFonts w:hint="eastAsia"/>
          <w:b/>
          <w:spacing w:val="10"/>
          <w:sz w:val="15"/>
          <w:szCs w:val="15"/>
        </w:rPr>
        <w:t>，而无须事先书面通知乙方或任何其他人员</w:t>
      </w:r>
      <w:r>
        <w:rPr>
          <w:rFonts w:hint="eastAsia"/>
          <w:bCs/>
          <w:spacing w:val="10"/>
          <w:sz w:val="15"/>
          <w:szCs w:val="15"/>
        </w:rPr>
        <w:t>。</w:t>
      </w:r>
    </w:p>
    <w:p w:rsidR="00B63A52" w:rsidRDefault="00B63A52" w:rsidP="00B63A52">
      <w:pPr>
        <w:pStyle w:val="11"/>
        <w:numPr>
          <w:ilvl w:val="0"/>
          <w:numId w:val="25"/>
        </w:numPr>
        <w:spacing w:line="200" w:lineRule="exact"/>
        <w:ind w:firstLineChars="0"/>
        <w:rPr>
          <w:bCs/>
          <w:spacing w:val="10"/>
          <w:sz w:val="15"/>
          <w:szCs w:val="15"/>
        </w:rPr>
      </w:pPr>
      <w:r>
        <w:rPr>
          <w:rFonts w:hint="eastAsia"/>
          <w:bCs/>
          <w:spacing w:val="10"/>
          <w:sz w:val="15"/>
          <w:szCs w:val="15"/>
        </w:rPr>
        <w:t>为了对不同货币进行</w:t>
      </w:r>
      <w:proofErr w:type="gramStart"/>
      <w:r>
        <w:rPr>
          <w:rFonts w:hint="eastAsia"/>
          <w:bCs/>
          <w:spacing w:val="10"/>
          <w:sz w:val="15"/>
          <w:szCs w:val="15"/>
        </w:rPr>
        <w:t>抵销</w:t>
      </w:r>
      <w:proofErr w:type="gramEnd"/>
      <w:r>
        <w:rPr>
          <w:rFonts w:hint="eastAsia"/>
          <w:bCs/>
          <w:spacing w:val="10"/>
          <w:sz w:val="15"/>
          <w:szCs w:val="15"/>
        </w:rPr>
        <w:t>，甲方可在有关日期以甲方所选择适用的市场汇率将乙方的债务予以兑换。如果债务尚未确定，则甲方可估计该债务的数额后进行</w:t>
      </w:r>
      <w:proofErr w:type="gramStart"/>
      <w:r>
        <w:rPr>
          <w:rFonts w:hint="eastAsia"/>
          <w:bCs/>
          <w:spacing w:val="10"/>
          <w:sz w:val="15"/>
          <w:szCs w:val="15"/>
        </w:rPr>
        <w:t>抵销</w:t>
      </w:r>
      <w:proofErr w:type="gramEnd"/>
      <w:r>
        <w:rPr>
          <w:rFonts w:hint="eastAsia"/>
          <w:bCs/>
          <w:spacing w:val="10"/>
          <w:sz w:val="15"/>
          <w:szCs w:val="15"/>
        </w:rPr>
        <w:t>，但甲方须在该债务得以确定时向乙方支付差额。</w:t>
      </w:r>
    </w:p>
    <w:p w:rsidR="00B63A52" w:rsidRDefault="00B63A52" w:rsidP="00B63A52">
      <w:pPr>
        <w:numPr>
          <w:ilvl w:val="0"/>
          <w:numId w:val="23"/>
        </w:numPr>
        <w:spacing w:line="200" w:lineRule="exact"/>
        <w:ind w:firstLineChars="200" w:firstLine="340"/>
        <w:rPr>
          <w:spacing w:val="10"/>
          <w:sz w:val="15"/>
          <w:szCs w:val="15"/>
        </w:rPr>
      </w:pPr>
      <w:r>
        <w:rPr>
          <w:rFonts w:hint="eastAsia"/>
          <w:bCs/>
          <w:spacing w:val="10"/>
          <w:sz w:val="15"/>
          <w:szCs w:val="15"/>
        </w:rPr>
        <w:t>弃权</w:t>
      </w:r>
    </w:p>
    <w:p w:rsidR="00B63A52" w:rsidRDefault="00B63A52" w:rsidP="00B63A52">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B63A52" w:rsidRDefault="00B63A52" w:rsidP="00B63A52">
      <w:pPr>
        <w:numPr>
          <w:ilvl w:val="0"/>
          <w:numId w:val="23"/>
        </w:numPr>
        <w:spacing w:line="200" w:lineRule="exact"/>
        <w:ind w:firstLineChars="200" w:firstLine="340"/>
        <w:rPr>
          <w:spacing w:val="10"/>
          <w:sz w:val="15"/>
          <w:szCs w:val="15"/>
        </w:rPr>
      </w:pPr>
      <w:r>
        <w:rPr>
          <w:rFonts w:hint="eastAsia"/>
          <w:spacing w:val="10"/>
          <w:sz w:val="15"/>
          <w:szCs w:val="15"/>
        </w:rPr>
        <w:t>可分割性</w:t>
      </w:r>
    </w:p>
    <w:p w:rsidR="00B63A52" w:rsidRDefault="00B63A52" w:rsidP="00B63A52">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B63A52" w:rsidRDefault="00B63A52" w:rsidP="00B63A52">
      <w:pPr>
        <w:numPr>
          <w:ilvl w:val="0"/>
          <w:numId w:val="23"/>
        </w:numPr>
        <w:spacing w:line="200" w:lineRule="exact"/>
        <w:ind w:firstLineChars="200" w:firstLine="340"/>
        <w:rPr>
          <w:spacing w:val="10"/>
          <w:sz w:val="15"/>
          <w:szCs w:val="15"/>
        </w:rPr>
      </w:pPr>
      <w:r>
        <w:rPr>
          <w:rFonts w:hint="eastAsia"/>
          <w:spacing w:val="10"/>
          <w:sz w:val="15"/>
          <w:szCs w:val="15"/>
        </w:rPr>
        <w:t>税收条款</w:t>
      </w:r>
    </w:p>
    <w:p w:rsidR="00B63A52" w:rsidRDefault="00B63A52" w:rsidP="00B63A52">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B63A52" w:rsidRDefault="00B63A52" w:rsidP="00B63A52">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B63A52" w:rsidRDefault="00B63A52" w:rsidP="00B63A52">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B63A52" w:rsidRDefault="00B63A52" w:rsidP="00B63A52">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B63A52" w:rsidRDefault="00B63A52" w:rsidP="00B63A52">
      <w:pPr>
        <w:numPr>
          <w:ilvl w:val="0"/>
          <w:numId w:val="26"/>
        </w:numPr>
        <w:spacing w:line="200" w:lineRule="exact"/>
        <w:ind w:firstLine="340"/>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B63A52" w:rsidRDefault="00B63A52" w:rsidP="00B63A52">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B63A52" w:rsidRDefault="00B63A52" w:rsidP="00B63A52">
      <w:pPr>
        <w:numPr>
          <w:ilvl w:val="0"/>
          <w:numId w:val="26"/>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B63A52" w:rsidRDefault="00B63A52" w:rsidP="00B63A52">
      <w:pPr>
        <w:numPr>
          <w:ilvl w:val="0"/>
          <w:numId w:val="26"/>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B63A52" w:rsidRDefault="00B63A52" w:rsidP="00B63A52">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B63A52" w:rsidRDefault="00B63A52" w:rsidP="00B63A52">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B63A52" w:rsidRDefault="00B63A52" w:rsidP="00B63A52">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额较大的理财产品，同样适用上述划款操作规则。</w:t>
      </w:r>
    </w:p>
    <w:p w:rsidR="00B63A52" w:rsidRDefault="00B63A52" w:rsidP="00B63A52">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w:t>
      </w:r>
      <w:proofErr w:type="gramStart"/>
      <w:r>
        <w:rPr>
          <w:rFonts w:hint="eastAsia"/>
          <w:b/>
          <w:bCs/>
          <w:spacing w:val="10"/>
          <w:sz w:val="15"/>
          <w:szCs w:val="15"/>
        </w:rPr>
        <w:t>乙方签署</w:t>
      </w:r>
      <w:proofErr w:type="gramEnd"/>
      <w:r>
        <w:rPr>
          <w:rFonts w:hint="eastAsia"/>
          <w:b/>
          <w:bCs/>
          <w:spacing w:val="10"/>
          <w:sz w:val="15"/>
          <w:szCs w:val="15"/>
        </w:rPr>
        <w:t>本协议视为同时同意并确认了对应期次的《理财产品说明书》《理财产品风险揭示书》《投资者权益须知》《理财产品投资协议书》等理财产品销售文件的相关条款。</w:t>
      </w:r>
    </w:p>
    <w:p w:rsidR="00B63A52" w:rsidRDefault="00B63A52" w:rsidP="00B63A52">
      <w:pPr>
        <w:spacing w:line="200" w:lineRule="exact"/>
        <w:ind w:firstLineChars="200" w:firstLine="340"/>
        <w:rPr>
          <w:spacing w:val="10"/>
          <w:sz w:val="15"/>
          <w:szCs w:val="15"/>
        </w:rPr>
      </w:pPr>
    </w:p>
    <w:p w:rsidR="00B63A52" w:rsidRDefault="00B63A52" w:rsidP="00B63A52">
      <w:pPr>
        <w:spacing w:line="200" w:lineRule="exact"/>
        <w:ind w:firstLineChars="200" w:firstLine="340"/>
        <w:rPr>
          <w:spacing w:val="10"/>
          <w:sz w:val="15"/>
          <w:szCs w:val="15"/>
        </w:rPr>
      </w:pPr>
    </w:p>
    <w:tbl>
      <w:tblPr>
        <w:tblW w:w="0" w:type="dxa"/>
        <w:jc w:val="center"/>
        <w:tblLayout w:type="fixed"/>
        <w:tblLook w:val="04A0" w:firstRow="1" w:lastRow="0" w:firstColumn="1" w:lastColumn="0" w:noHBand="0" w:noVBand="1"/>
      </w:tblPr>
      <w:tblGrid>
        <w:gridCol w:w="4812"/>
        <w:gridCol w:w="4713"/>
      </w:tblGrid>
      <w:tr w:rsidR="00B63A52" w:rsidTr="00B63A52">
        <w:trPr>
          <w:jc w:val="center"/>
        </w:trPr>
        <w:tc>
          <w:tcPr>
            <w:tcW w:w="4812" w:type="dxa"/>
            <w:hideMark/>
          </w:tcPr>
          <w:p w:rsidR="00B63A52" w:rsidRDefault="00B63A52">
            <w:pPr>
              <w:spacing w:line="200" w:lineRule="exact"/>
              <w:rPr>
                <w:spacing w:val="10"/>
                <w:sz w:val="15"/>
                <w:szCs w:val="15"/>
              </w:rPr>
            </w:pPr>
            <w:r>
              <w:rPr>
                <w:rFonts w:hint="eastAsia"/>
                <w:spacing w:val="10"/>
                <w:sz w:val="15"/>
                <w:szCs w:val="15"/>
              </w:rPr>
              <w:t>个人投资者（如适用）：</w:t>
            </w:r>
          </w:p>
        </w:tc>
        <w:tc>
          <w:tcPr>
            <w:tcW w:w="4713" w:type="dxa"/>
            <w:hideMark/>
          </w:tcPr>
          <w:p w:rsidR="00B63A52" w:rsidRDefault="00B63A52">
            <w:pPr>
              <w:spacing w:line="200" w:lineRule="exact"/>
              <w:rPr>
                <w:spacing w:val="10"/>
                <w:sz w:val="15"/>
                <w:szCs w:val="15"/>
              </w:rPr>
            </w:pPr>
            <w:r>
              <w:rPr>
                <w:rFonts w:hint="eastAsia"/>
                <w:spacing w:val="10"/>
                <w:sz w:val="15"/>
                <w:szCs w:val="15"/>
              </w:rPr>
              <w:t>机构投资者（如适用）：</w:t>
            </w:r>
          </w:p>
        </w:tc>
      </w:tr>
      <w:tr w:rsidR="00B63A52" w:rsidTr="00B63A52">
        <w:trPr>
          <w:jc w:val="center"/>
        </w:trPr>
        <w:tc>
          <w:tcPr>
            <w:tcW w:w="4812" w:type="dxa"/>
          </w:tcPr>
          <w:p w:rsidR="00B63A52" w:rsidRDefault="00B63A52">
            <w:pPr>
              <w:spacing w:line="200" w:lineRule="exact"/>
              <w:ind w:firstLineChars="200" w:firstLine="340"/>
              <w:rPr>
                <w:spacing w:val="10"/>
                <w:sz w:val="15"/>
                <w:szCs w:val="15"/>
              </w:rPr>
            </w:pPr>
          </w:p>
          <w:p w:rsidR="00B63A52" w:rsidRDefault="00B63A52">
            <w:pPr>
              <w:spacing w:line="200" w:lineRule="exact"/>
              <w:rPr>
                <w:spacing w:val="10"/>
                <w:sz w:val="15"/>
                <w:szCs w:val="15"/>
              </w:rPr>
            </w:pPr>
            <w:r>
              <w:rPr>
                <w:rFonts w:hint="eastAsia"/>
                <w:spacing w:val="10"/>
                <w:sz w:val="15"/>
                <w:szCs w:val="15"/>
              </w:rPr>
              <w:t>投资者：（签名）</w:t>
            </w:r>
          </w:p>
          <w:p w:rsidR="00B63A52" w:rsidRDefault="00B63A52">
            <w:pPr>
              <w:spacing w:line="200" w:lineRule="exact"/>
              <w:ind w:firstLineChars="400" w:firstLine="680"/>
              <w:rPr>
                <w:spacing w:val="10"/>
                <w:sz w:val="15"/>
                <w:szCs w:val="15"/>
              </w:rPr>
            </w:pPr>
          </w:p>
          <w:p w:rsidR="00B63A52" w:rsidRDefault="00B63A52">
            <w:pPr>
              <w:spacing w:line="200" w:lineRule="exact"/>
              <w:ind w:firstLineChars="500" w:firstLine="850"/>
              <w:rPr>
                <w:spacing w:val="10"/>
                <w:sz w:val="15"/>
                <w:szCs w:val="15"/>
              </w:rPr>
            </w:pPr>
          </w:p>
          <w:p w:rsidR="00B63A52" w:rsidRDefault="00B63A52">
            <w:pPr>
              <w:spacing w:line="200" w:lineRule="exact"/>
              <w:ind w:firstLineChars="500" w:firstLine="850"/>
              <w:rPr>
                <w:spacing w:val="10"/>
                <w:sz w:val="15"/>
                <w:szCs w:val="15"/>
              </w:rPr>
            </w:pPr>
            <w:r>
              <w:rPr>
                <w:rFonts w:hint="eastAsia"/>
                <w:spacing w:val="10"/>
                <w:sz w:val="15"/>
                <w:szCs w:val="15"/>
              </w:rPr>
              <w:t>年月日</w:t>
            </w:r>
          </w:p>
        </w:tc>
        <w:tc>
          <w:tcPr>
            <w:tcW w:w="4713" w:type="dxa"/>
          </w:tcPr>
          <w:p w:rsidR="00B63A52" w:rsidRDefault="00B63A52">
            <w:pPr>
              <w:spacing w:line="200" w:lineRule="exact"/>
              <w:ind w:firstLineChars="200" w:firstLine="340"/>
              <w:rPr>
                <w:spacing w:val="10"/>
                <w:sz w:val="15"/>
                <w:szCs w:val="15"/>
              </w:rPr>
            </w:pPr>
          </w:p>
          <w:p w:rsidR="00B63A52" w:rsidRDefault="00B63A52">
            <w:pPr>
              <w:spacing w:line="200" w:lineRule="exact"/>
              <w:rPr>
                <w:spacing w:val="10"/>
                <w:sz w:val="15"/>
                <w:szCs w:val="15"/>
              </w:rPr>
            </w:pPr>
            <w:r>
              <w:rPr>
                <w:rFonts w:hint="eastAsia"/>
                <w:spacing w:val="10"/>
                <w:sz w:val="15"/>
                <w:szCs w:val="15"/>
              </w:rPr>
              <w:t>投资者：（公章或合同专用章）</w:t>
            </w:r>
          </w:p>
          <w:p w:rsidR="00B63A52" w:rsidRDefault="00B63A52">
            <w:pPr>
              <w:spacing w:line="200" w:lineRule="exact"/>
              <w:rPr>
                <w:spacing w:val="10"/>
                <w:sz w:val="15"/>
                <w:szCs w:val="15"/>
              </w:rPr>
            </w:pPr>
          </w:p>
          <w:p w:rsidR="00B63A52" w:rsidRDefault="00B63A52">
            <w:pPr>
              <w:spacing w:line="200" w:lineRule="exact"/>
              <w:rPr>
                <w:spacing w:val="10"/>
                <w:sz w:val="15"/>
                <w:szCs w:val="15"/>
              </w:rPr>
            </w:pPr>
          </w:p>
          <w:p w:rsidR="00B63A52" w:rsidRDefault="00B63A52">
            <w:pPr>
              <w:spacing w:line="200" w:lineRule="exact"/>
              <w:rPr>
                <w:spacing w:val="10"/>
                <w:sz w:val="15"/>
                <w:szCs w:val="15"/>
              </w:rPr>
            </w:pPr>
            <w:r>
              <w:rPr>
                <w:rFonts w:hint="eastAsia"/>
                <w:spacing w:val="10"/>
                <w:sz w:val="15"/>
                <w:szCs w:val="15"/>
              </w:rPr>
              <w:t>法定代表人或授权代理人：（签名或盖章）</w:t>
            </w:r>
          </w:p>
          <w:p w:rsidR="00B63A52" w:rsidRDefault="00B63A52">
            <w:pPr>
              <w:spacing w:line="200" w:lineRule="exact"/>
              <w:ind w:firstLineChars="400" w:firstLine="680"/>
              <w:rPr>
                <w:spacing w:val="10"/>
                <w:sz w:val="15"/>
                <w:szCs w:val="15"/>
              </w:rPr>
            </w:pPr>
          </w:p>
          <w:p w:rsidR="00B63A52" w:rsidRDefault="00B63A52">
            <w:pPr>
              <w:spacing w:line="200" w:lineRule="exact"/>
              <w:ind w:firstLineChars="400" w:firstLine="680"/>
              <w:rPr>
                <w:spacing w:val="10"/>
                <w:sz w:val="15"/>
                <w:szCs w:val="15"/>
              </w:rPr>
            </w:pPr>
            <w:r>
              <w:rPr>
                <w:rFonts w:hint="eastAsia"/>
                <w:spacing w:val="10"/>
                <w:sz w:val="15"/>
                <w:szCs w:val="15"/>
              </w:rPr>
              <w:t>年月日</w:t>
            </w:r>
          </w:p>
        </w:tc>
      </w:tr>
    </w:tbl>
    <w:p w:rsidR="00B63A52" w:rsidRDefault="00B63A52" w:rsidP="00B63A52">
      <w:pPr>
        <w:spacing w:line="200" w:lineRule="exact"/>
        <w:rPr>
          <w:rFonts w:ascii="Times New Roman" w:hAnsi="Times New Roman"/>
          <w:spacing w:val="10"/>
          <w:sz w:val="15"/>
          <w:szCs w:val="15"/>
        </w:rPr>
      </w:pPr>
    </w:p>
    <w:p w:rsidR="00B63A52" w:rsidRDefault="00B63A52" w:rsidP="00B63A52">
      <w:pPr>
        <w:widowControl/>
        <w:spacing w:line="360" w:lineRule="auto"/>
        <w:jc w:val="left"/>
        <w:rPr>
          <w:kern w:val="0"/>
        </w:rPr>
        <w:sectPr w:rsidR="00B63A52">
          <w:pgSz w:w="11906" w:h="16838"/>
          <w:pgMar w:top="720" w:right="720" w:bottom="720" w:left="720" w:header="851" w:footer="992" w:gutter="0"/>
          <w:cols w:space="720"/>
          <w:docGrid w:type="lines" w:linePitch="312"/>
        </w:sectPr>
      </w:pPr>
    </w:p>
    <w:p w:rsidR="00B63A52" w:rsidRDefault="00B63A52" w:rsidP="00B63A52">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一、重要提示</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rsidR="00B63A52" w:rsidRDefault="00B63A52" w:rsidP="00B63A52">
      <w:pPr>
        <w:pStyle w:val="12"/>
        <w:spacing w:line="360" w:lineRule="auto"/>
        <w:ind w:firstLine="402"/>
        <w:rPr>
          <w:rFonts w:ascii="宋体" w:hAnsi="宋体" w:cs="宋体" w:hint="eastAsia"/>
          <w:b/>
          <w:sz w:val="20"/>
          <w:szCs w:val="21"/>
        </w:rPr>
      </w:pPr>
      <w:r>
        <w:rPr>
          <w:rFonts w:ascii="宋体" w:hAnsi="宋体" w:cs="宋体" w:hint="eastAsia"/>
          <w:b/>
          <w:sz w:val="20"/>
          <w:szCs w:val="21"/>
        </w:rPr>
        <w:t>二、双方权利与义务</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（一）甲方的权利与义务</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1.甲方应当履行恪尽职守、勤勉尽责、诚实守信、有效管理的义务。</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3.甲方应当按照对应期次《理财产品说明书》的约定向乙方分配收益。</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4.甲方有权按照对应期次《理财产品说明书》的约定收取相应费用。</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5.由于投资管理或者获取投资标的</w:t>
      </w:r>
      <w:proofErr w:type="gramStart"/>
      <w:r>
        <w:rPr>
          <w:rFonts w:ascii="宋体" w:hAnsi="宋体" w:cs="宋体" w:hint="eastAsia"/>
          <w:sz w:val="20"/>
          <w:szCs w:val="21"/>
        </w:rPr>
        <w:t>的</w:t>
      </w:r>
      <w:proofErr w:type="gramEnd"/>
      <w:r>
        <w:rPr>
          <w:rFonts w:ascii="宋体" w:hAnsi="宋体" w:cs="宋体" w:hint="eastAsia"/>
          <w:sz w:val="20"/>
          <w:szCs w:val="21"/>
        </w:rPr>
        <w:t>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B63A52" w:rsidRDefault="00B63A52" w:rsidP="00B63A52">
      <w:pPr>
        <w:pStyle w:val="12"/>
        <w:spacing w:line="360" w:lineRule="auto"/>
        <w:ind w:firstLine="400"/>
        <w:rPr>
          <w:rFonts w:ascii="宋体" w:hAnsi="宋体" w:cs="宋体" w:hint="eastAsia"/>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7.甲方有权根据产品运作的需要选任必要的业务合作机构，并确定合作模式等相关内容。</w:t>
      </w:r>
    </w:p>
    <w:p w:rsidR="00B63A52" w:rsidRDefault="00B63A52" w:rsidP="00B63A52">
      <w:pPr>
        <w:pStyle w:val="12"/>
        <w:spacing w:line="360" w:lineRule="auto"/>
        <w:ind w:firstLineChars="0" w:firstLine="440"/>
        <w:rPr>
          <w:rFonts w:ascii="宋体" w:hAnsi="宋体" w:cs="宋体" w:hint="eastAsia"/>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rsidR="00B63A52" w:rsidRDefault="00B63A52" w:rsidP="00B63A5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B63A52" w:rsidRDefault="00B63A52" w:rsidP="00B63A5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w:t>
      </w:r>
      <w:r>
        <w:rPr>
          <w:rFonts w:ascii="宋体" w:hAnsi="宋体" w:cs="宋体" w:hint="eastAsia"/>
          <w:b/>
          <w:bCs/>
          <w:sz w:val="20"/>
          <w:szCs w:val="21"/>
        </w:rPr>
        <w:lastRenderedPageBreak/>
        <w:t>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B63A52" w:rsidRDefault="00B63A52" w:rsidP="00B63A5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10.法律法规规定或理财产品销售文件约定的其它权利及义务。</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（二）乙方的权利与义务</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1.乙方保证具有完全民事行为能力，有完全适当的资格与能力订立并履行本协议。</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次理财产品，乙方承诺由此产生的相关风险由其自身承担。</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B63A52" w:rsidRDefault="00B63A52" w:rsidP="00B63A52">
      <w:pPr>
        <w:pStyle w:val="12"/>
        <w:spacing w:line="360" w:lineRule="auto"/>
        <w:ind w:firstLineChars="0" w:firstLine="440"/>
        <w:rPr>
          <w:rFonts w:ascii="宋体" w:hAnsi="宋体" w:cs="宋体" w:hint="eastAsia"/>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B63A52" w:rsidRDefault="00B63A52" w:rsidP="00B63A52">
      <w:pPr>
        <w:pStyle w:val="12"/>
        <w:spacing w:line="360" w:lineRule="auto"/>
        <w:ind w:firstLineChars="0" w:firstLine="442"/>
        <w:rPr>
          <w:rFonts w:ascii="宋体" w:hAnsi="宋体" w:cs="宋体" w:hint="eastAsia"/>
          <w:b/>
          <w:bCs/>
          <w:sz w:val="20"/>
          <w:szCs w:val="21"/>
        </w:rPr>
      </w:pPr>
      <w:r>
        <w:rPr>
          <w:rFonts w:ascii="宋体" w:hAnsi="宋体" w:cs="宋体" w:hint="eastAsia"/>
          <w:b/>
          <w:bCs/>
          <w:sz w:val="20"/>
          <w:szCs w:val="21"/>
        </w:rPr>
        <w:lastRenderedPageBreak/>
        <w:t>10.乙方对因购买、持有本理财产品而知悉的甲方及销售机构保密信息承担保密义务，乙方承诺不以任何方式向任何第三方披露甲方或销售机构的保密信息，法律法规另有规定的除外。</w:t>
      </w:r>
    </w:p>
    <w:p w:rsidR="00B63A52" w:rsidRDefault="00B63A52" w:rsidP="00B63A52">
      <w:pPr>
        <w:pStyle w:val="12"/>
        <w:spacing w:line="360" w:lineRule="auto"/>
        <w:ind w:firstLineChars="0" w:firstLine="440"/>
        <w:rPr>
          <w:rFonts w:ascii="宋体" w:hAnsi="宋体" w:cs="宋体" w:hint="eastAsia"/>
          <w:sz w:val="20"/>
          <w:szCs w:val="21"/>
        </w:rPr>
      </w:pPr>
      <w:r>
        <w:rPr>
          <w:rFonts w:ascii="宋体" w:hAnsi="宋体" w:cs="宋体" w:hint="eastAsia"/>
          <w:sz w:val="20"/>
          <w:szCs w:val="21"/>
        </w:rPr>
        <w:t>11.法律法规规定或理财产品销售文件约定的其它权利及义务。</w:t>
      </w:r>
    </w:p>
    <w:p w:rsidR="00B63A52" w:rsidRDefault="00B63A52" w:rsidP="00B63A52">
      <w:pPr>
        <w:pStyle w:val="12"/>
        <w:spacing w:line="360" w:lineRule="auto"/>
        <w:ind w:firstLine="402"/>
        <w:rPr>
          <w:rFonts w:ascii="宋体" w:hAnsi="宋体" w:cs="宋体" w:hint="eastAsia"/>
          <w:b/>
          <w:sz w:val="20"/>
          <w:szCs w:val="21"/>
        </w:rPr>
      </w:pPr>
      <w:r>
        <w:rPr>
          <w:rFonts w:ascii="宋体" w:hAnsi="宋体" w:cs="宋体" w:hint="eastAsia"/>
          <w:b/>
          <w:sz w:val="20"/>
          <w:szCs w:val="21"/>
        </w:rPr>
        <w:t>三、协议的生效和终止</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B63A52" w:rsidRDefault="00B63A52" w:rsidP="00B63A5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四、不可抗力及其他免责条款</w:t>
      </w:r>
    </w:p>
    <w:p w:rsidR="00B63A52" w:rsidRDefault="00B63A52" w:rsidP="00B63A52">
      <w:pPr>
        <w:pStyle w:val="12"/>
        <w:spacing w:line="360" w:lineRule="auto"/>
        <w:ind w:firstLine="402"/>
        <w:rPr>
          <w:rFonts w:ascii="宋体" w:hAnsi="宋体" w:cs="宋体" w:hint="eastAsia"/>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B63A52" w:rsidRDefault="00B63A52" w:rsidP="00B63A52">
      <w:pPr>
        <w:pStyle w:val="12"/>
        <w:spacing w:line="360" w:lineRule="auto"/>
        <w:ind w:firstLine="402"/>
        <w:rPr>
          <w:rFonts w:ascii="宋体" w:hAnsi="宋体" w:cs="宋体" w:hint="eastAsia"/>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B63A52" w:rsidRDefault="00B63A52" w:rsidP="00B63A5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五、争议解决</w:t>
      </w:r>
    </w:p>
    <w:p w:rsidR="00B63A52" w:rsidRDefault="00B63A52" w:rsidP="00B63A52">
      <w:pPr>
        <w:pStyle w:val="12"/>
        <w:spacing w:line="360" w:lineRule="auto"/>
        <w:ind w:firstLine="402"/>
        <w:rPr>
          <w:rFonts w:ascii="宋体" w:hAnsi="宋体" w:cs="宋体" w:hint="eastAsia"/>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B63A52" w:rsidRDefault="00B63A52" w:rsidP="00B63A52">
      <w:pPr>
        <w:pStyle w:val="12"/>
        <w:spacing w:line="360" w:lineRule="auto"/>
        <w:ind w:firstLine="402"/>
        <w:rPr>
          <w:rFonts w:ascii="宋体" w:hAnsi="宋体" w:cs="宋体" w:hint="eastAsia"/>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B63A52" w:rsidRDefault="00B63A52" w:rsidP="00B63A52">
      <w:pPr>
        <w:pStyle w:val="12"/>
        <w:spacing w:line="360" w:lineRule="auto"/>
        <w:ind w:firstLine="400"/>
        <w:rPr>
          <w:rFonts w:ascii="宋体" w:hAnsi="宋体" w:cs="宋体" w:hint="eastAsia"/>
          <w:sz w:val="20"/>
          <w:szCs w:val="21"/>
        </w:rPr>
      </w:pPr>
    </w:p>
    <w:p w:rsidR="00B63A52" w:rsidRDefault="00B63A52" w:rsidP="00B63A52">
      <w:pPr>
        <w:pStyle w:val="12"/>
        <w:spacing w:line="360" w:lineRule="auto"/>
        <w:ind w:firstLine="402"/>
        <w:rPr>
          <w:rFonts w:ascii="宋体" w:hAnsi="宋体" w:cs="宋体" w:hint="eastAsia"/>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B63A52" w:rsidRDefault="00B63A52" w:rsidP="00B63A52">
      <w:pPr>
        <w:pStyle w:val="12"/>
        <w:spacing w:line="360" w:lineRule="auto"/>
        <w:ind w:firstLine="400"/>
        <w:rPr>
          <w:rFonts w:ascii="宋体" w:hAnsi="宋体" w:cs="宋体" w:hint="eastAsia"/>
          <w:sz w:val="20"/>
          <w:szCs w:val="21"/>
        </w:rPr>
      </w:pPr>
      <w:r>
        <w:rPr>
          <w:rFonts w:ascii="宋体" w:hAnsi="宋体" w:cs="宋体" w:hint="eastAsia"/>
          <w:sz w:val="20"/>
          <w:szCs w:val="21"/>
        </w:rPr>
        <w:t>（以下无正文）</w:t>
      </w:r>
    </w:p>
    <w:p w:rsidR="00B63A52" w:rsidRDefault="00B63A52" w:rsidP="00B63A52">
      <w:pPr>
        <w:pStyle w:val="12"/>
        <w:spacing w:line="360" w:lineRule="auto"/>
        <w:ind w:firstLine="400"/>
        <w:rPr>
          <w:rFonts w:ascii="宋体" w:hAnsi="宋体" w:cs="宋体" w:hint="eastAsia"/>
          <w:sz w:val="20"/>
          <w:szCs w:val="21"/>
        </w:rPr>
      </w:pPr>
    </w:p>
    <w:p w:rsidR="00B63A52" w:rsidRDefault="00B63A52" w:rsidP="00B63A52">
      <w:pPr>
        <w:spacing w:line="360" w:lineRule="auto"/>
        <w:rPr>
          <w:rStyle w:val="fontstyle01"/>
          <w:sz w:val="20"/>
          <w:szCs w:val="21"/>
        </w:rPr>
      </w:pPr>
      <w:r>
        <w:rPr>
          <w:rStyle w:val="fontstyle01"/>
          <w:rFonts w:hint="default"/>
          <w:sz w:val="20"/>
        </w:rPr>
        <w:t>个人投资者（如适用）：                   机构投资者（如适用）：</w:t>
      </w:r>
    </w:p>
    <w:p w:rsidR="00B63A52" w:rsidRDefault="00B63A52" w:rsidP="00B63A52">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B63A52" w:rsidRDefault="00B63A52" w:rsidP="00B63A52">
      <w:pPr>
        <w:spacing w:line="360" w:lineRule="auto"/>
        <w:rPr>
          <w:rStyle w:val="fontstyle01"/>
          <w:rFonts w:hint="default"/>
          <w:sz w:val="20"/>
        </w:rPr>
      </w:pPr>
      <w:r>
        <w:rPr>
          <w:rStyle w:val="fontstyle01"/>
          <w:rFonts w:hint="default"/>
          <w:sz w:val="20"/>
        </w:rPr>
        <w:lastRenderedPageBreak/>
        <w:t xml:space="preserve">   年  月  日                           法定代表人或授权代理人：（签名或盖章）</w:t>
      </w:r>
    </w:p>
    <w:p w:rsidR="00B63A52" w:rsidRDefault="00B63A52" w:rsidP="00B63A52">
      <w:pPr>
        <w:widowControl/>
        <w:jc w:val="left"/>
        <w:rPr>
          <w:rFonts w:ascii="Times New Roman" w:hAnsi="Times New Roman"/>
          <w:sz w:val="18"/>
          <w:szCs w:val="18"/>
        </w:rPr>
      </w:pPr>
      <w:r>
        <w:rPr>
          <w:rStyle w:val="fontstyle01"/>
          <w:rFonts w:hint="default"/>
          <w:sz w:val="20"/>
        </w:rPr>
        <w:t xml:space="preserve">                                            年    月   日</w:t>
      </w:r>
    </w:p>
    <w:p w:rsidR="00B63A52" w:rsidRDefault="00B63A52" w:rsidP="00B63A52">
      <w:pPr>
        <w:pStyle w:val="a8"/>
        <w:ind w:firstLineChars="0" w:firstLine="0"/>
        <w:rPr>
          <w:b/>
          <w:kern w:val="0"/>
          <w:sz w:val="15"/>
          <w:szCs w:val="11"/>
        </w:rPr>
      </w:pPr>
    </w:p>
    <w:p w:rsidR="00B63A52" w:rsidRDefault="00B63A52" w:rsidP="00B63A52">
      <w:pPr>
        <w:pStyle w:val="a8"/>
        <w:ind w:firstLine="301"/>
        <w:rPr>
          <w:rFonts w:ascii="宋体"/>
          <w:b/>
          <w:bCs/>
          <w:color w:val="3D3D3D"/>
          <w:kern w:val="0"/>
          <w:sz w:val="15"/>
          <w:szCs w:val="15"/>
        </w:rPr>
      </w:pPr>
    </w:p>
    <w:p w:rsidR="00B63A52" w:rsidRDefault="00B63A52" w:rsidP="00B63A52">
      <w:pPr>
        <w:pStyle w:val="a8"/>
        <w:ind w:firstLine="301"/>
        <w:rPr>
          <w:rFonts w:ascii="宋体" w:hint="eastAsia"/>
          <w:b/>
          <w:bCs/>
          <w:color w:val="3D3D3D"/>
          <w:kern w:val="0"/>
          <w:sz w:val="15"/>
          <w:szCs w:val="15"/>
        </w:rPr>
      </w:pPr>
    </w:p>
    <w:p w:rsidR="00B63A52" w:rsidRDefault="00B63A52" w:rsidP="00B63A52">
      <w:pPr>
        <w:rPr>
          <w:rFonts w:ascii="Times New Roman" w:hint="eastAsia"/>
          <w:sz w:val="18"/>
          <w:szCs w:val="18"/>
        </w:rPr>
      </w:pPr>
    </w:p>
    <w:p w:rsidR="00B63A52" w:rsidRDefault="00B63A52" w:rsidP="00B63A52">
      <w:pPr>
        <w:pStyle w:val="a8"/>
        <w:ind w:firstLine="360"/>
      </w:pPr>
    </w:p>
    <w:p w:rsidR="00987001" w:rsidRPr="00987001" w:rsidRDefault="00987001" w:rsidP="00B63A52">
      <w:pPr>
        <w:jc w:val="center"/>
      </w:pPr>
      <w:bookmarkStart w:id="0" w:name="_GoBack"/>
      <w:bookmarkEnd w:id="0"/>
    </w:p>
    <w:sectPr w:rsidR="00987001" w:rsidRPr="00987001" w:rsidSect="00B63A52">
      <w:headerReference w:type="default" r:id="rId7"/>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1C2" w:rsidRDefault="00CA21C2">
      <w:r>
        <w:separator/>
      </w:r>
    </w:p>
  </w:endnote>
  <w:endnote w:type="continuationSeparator" w:id="0">
    <w:p w:rsidR="00CA21C2" w:rsidRDefault="00C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1C2" w:rsidRDefault="00CA21C2">
      <w:r>
        <w:separator/>
      </w:r>
    </w:p>
  </w:footnote>
  <w:footnote w:type="continuationSeparator" w:id="0">
    <w:p w:rsidR="00CA21C2" w:rsidRDefault="00CA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694" w:rsidRDefault="005E592C">
    <w:pPr>
      <w:pStyle w:val="a3"/>
      <w:jc w:val="right"/>
    </w:pPr>
    <w:r>
      <w:t>南银</w:t>
    </w:r>
    <w:proofErr w:type="gramStart"/>
    <w:r>
      <w:t>理财理财</w:t>
    </w:r>
    <w:proofErr w:type="gramEnd"/>
    <w:r>
      <w:t>产品销售文件（2021第2版）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237E8"/>
    <w:multiLevelType w:val="hybridMultilevel"/>
    <w:tmpl w:val="1EB0C318"/>
    <w:lvl w:ilvl="0" w:tplc="EB640DBC">
      <w:start w:val="1"/>
      <w:numFmt w:val="decimal"/>
      <w:lvlRestart w:val="0"/>
      <w:lvlText w:val="%1."/>
      <w:lvlJc w:val="left"/>
      <w:pPr>
        <w:tabs>
          <w:tab w:val="num" w:pos="0"/>
        </w:tabs>
        <w:ind w:left="660" w:hanging="360"/>
      </w:pPr>
      <w:rPr>
        <w:rFonts w:ascii="方正黑体_GBK" w:eastAsia="方正黑体_GBK" w:hAnsi="方正黑体_GBK" w:hint="default"/>
      </w:rPr>
    </w:lvl>
    <w:lvl w:ilvl="1" w:tplc="6486E454">
      <w:start w:val="1"/>
      <w:numFmt w:val="lowerLetter"/>
      <w:lvlText w:val="%2)"/>
      <w:lvlJc w:val="left"/>
      <w:pPr>
        <w:tabs>
          <w:tab w:val="num" w:pos="0"/>
        </w:tabs>
        <w:ind w:left="1140" w:hanging="420"/>
      </w:pPr>
      <w:rPr>
        <w:rFonts w:ascii="方正黑体_GBK" w:eastAsia="方正黑体_GBK" w:hAnsi="方正黑体_GBK" w:hint="default"/>
      </w:rPr>
    </w:lvl>
    <w:lvl w:ilvl="2" w:tplc="1252396E">
      <w:start w:val="1"/>
      <w:numFmt w:val="decimal"/>
      <w:lvlText w:val="%3."/>
      <w:lvlJc w:val="right"/>
      <w:pPr>
        <w:tabs>
          <w:tab w:val="num" w:pos="0"/>
        </w:tabs>
        <w:ind w:left="1560" w:hanging="420"/>
      </w:pPr>
      <w:rPr>
        <w:rFonts w:ascii="方正黑体_GBK" w:eastAsia="方正黑体_GBK" w:hAnsi="方正黑体_GBK" w:hint="default"/>
      </w:rPr>
    </w:lvl>
    <w:lvl w:ilvl="3" w:tplc="ACB41430">
      <w:start w:val="1"/>
      <w:numFmt w:val="decimal"/>
      <w:lvlText w:val="%4."/>
      <w:lvlJc w:val="left"/>
      <w:pPr>
        <w:tabs>
          <w:tab w:val="num" w:pos="0"/>
        </w:tabs>
        <w:ind w:left="1980" w:hanging="420"/>
      </w:pPr>
      <w:rPr>
        <w:rFonts w:ascii="方正黑体_GBK" w:eastAsia="方正黑体_GBK" w:hAnsi="方正黑体_GBK" w:hint="default"/>
      </w:rPr>
    </w:lvl>
    <w:lvl w:ilvl="4" w:tplc="C72EE684">
      <w:start w:val="1"/>
      <w:numFmt w:val="lowerLetter"/>
      <w:lvlText w:val="%5)"/>
      <w:lvlJc w:val="left"/>
      <w:pPr>
        <w:tabs>
          <w:tab w:val="num" w:pos="0"/>
        </w:tabs>
        <w:ind w:left="2400" w:hanging="420"/>
      </w:pPr>
      <w:rPr>
        <w:rFonts w:ascii="方正黑体_GBK" w:eastAsia="方正黑体_GBK" w:hAnsi="方正黑体_GBK" w:hint="default"/>
      </w:rPr>
    </w:lvl>
    <w:lvl w:ilvl="5" w:tplc="00C01DAC">
      <w:start w:val="1"/>
      <w:numFmt w:val="decimal"/>
      <w:lvlText w:val="%6."/>
      <w:lvlJc w:val="right"/>
      <w:pPr>
        <w:tabs>
          <w:tab w:val="num" w:pos="0"/>
        </w:tabs>
        <w:ind w:left="2820" w:hanging="420"/>
      </w:pPr>
      <w:rPr>
        <w:rFonts w:ascii="方正黑体_GBK" w:eastAsia="方正黑体_GBK" w:hAnsi="方正黑体_GBK" w:hint="default"/>
      </w:rPr>
    </w:lvl>
    <w:lvl w:ilvl="6" w:tplc="C1D81EC8">
      <w:start w:val="1"/>
      <w:numFmt w:val="decimal"/>
      <w:lvlText w:val="%7."/>
      <w:lvlJc w:val="left"/>
      <w:pPr>
        <w:tabs>
          <w:tab w:val="num" w:pos="0"/>
        </w:tabs>
        <w:ind w:left="3240" w:hanging="420"/>
      </w:pPr>
      <w:rPr>
        <w:rFonts w:ascii="方正黑体_GBK" w:eastAsia="方正黑体_GBK" w:hAnsi="方正黑体_GBK" w:hint="default"/>
      </w:rPr>
    </w:lvl>
    <w:lvl w:ilvl="7" w:tplc="26D059D0">
      <w:start w:val="1"/>
      <w:numFmt w:val="lowerLetter"/>
      <w:lvlText w:val="%8)"/>
      <w:lvlJc w:val="left"/>
      <w:pPr>
        <w:tabs>
          <w:tab w:val="num" w:pos="0"/>
        </w:tabs>
        <w:ind w:left="3660" w:hanging="420"/>
      </w:pPr>
      <w:rPr>
        <w:rFonts w:ascii="方正黑体_GBK" w:eastAsia="方正黑体_GBK" w:hAnsi="方正黑体_GBK" w:hint="default"/>
      </w:rPr>
    </w:lvl>
    <w:lvl w:ilvl="8" w:tplc="0E1486F2">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1" w15:restartNumberingAfterBreak="0">
    <w:nsid w:val="2D3D2818"/>
    <w:multiLevelType w:val="multilevel"/>
    <w:tmpl w:val="A38A661C"/>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2"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21573D8"/>
    <w:multiLevelType w:val="multilevel"/>
    <w:tmpl w:val="06C03E24"/>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7" w15:restartNumberingAfterBreak="0">
    <w:nsid w:val="510A3506"/>
    <w:multiLevelType w:val="singleLevel"/>
    <w:tmpl w:val="510A3506"/>
    <w:lvl w:ilvl="0">
      <w:start w:val="1"/>
      <w:numFmt w:val="decimal"/>
      <w:suff w:val="nothing"/>
      <w:lvlText w:val="（%1）"/>
      <w:lvlJc w:val="left"/>
    </w:lvl>
  </w:abstractNum>
  <w:abstractNum w:abstractNumId="8"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16938B3"/>
    <w:multiLevelType w:val="hybridMultilevel"/>
    <w:tmpl w:val="EF5EA206"/>
    <w:lvl w:ilvl="0" w:tplc="737007EC">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53041DF6">
      <w:start w:val="1"/>
      <w:numFmt w:val="lowerLetter"/>
      <w:lvlText w:val="%2)"/>
      <w:lvlJc w:val="left"/>
      <w:pPr>
        <w:tabs>
          <w:tab w:val="num" w:pos="0"/>
        </w:tabs>
        <w:ind w:left="1141" w:hanging="420"/>
      </w:pPr>
      <w:rPr>
        <w:rFonts w:ascii="方正黑体_GBK" w:eastAsia="方正黑体_GBK" w:hAnsi="方正黑体_GBK" w:hint="default"/>
      </w:rPr>
    </w:lvl>
    <w:lvl w:ilvl="2" w:tplc="C6F0709A">
      <w:start w:val="1"/>
      <w:numFmt w:val="decimal"/>
      <w:lvlText w:val="%3."/>
      <w:lvlJc w:val="right"/>
      <w:pPr>
        <w:tabs>
          <w:tab w:val="num" w:pos="0"/>
        </w:tabs>
        <w:ind w:left="1561" w:hanging="420"/>
      </w:pPr>
      <w:rPr>
        <w:rFonts w:ascii="方正黑体_GBK" w:eastAsia="方正黑体_GBK" w:hAnsi="方正黑体_GBK" w:hint="default"/>
      </w:rPr>
    </w:lvl>
    <w:lvl w:ilvl="3" w:tplc="2E74832E">
      <w:start w:val="1"/>
      <w:numFmt w:val="decimal"/>
      <w:lvlText w:val="%4."/>
      <w:lvlJc w:val="left"/>
      <w:pPr>
        <w:tabs>
          <w:tab w:val="num" w:pos="0"/>
        </w:tabs>
        <w:ind w:left="1981" w:hanging="420"/>
      </w:pPr>
      <w:rPr>
        <w:rFonts w:ascii="方正黑体_GBK" w:eastAsia="方正黑体_GBK" w:hAnsi="方正黑体_GBK" w:hint="default"/>
      </w:rPr>
    </w:lvl>
    <w:lvl w:ilvl="4" w:tplc="E7286804">
      <w:start w:val="1"/>
      <w:numFmt w:val="lowerLetter"/>
      <w:lvlText w:val="%5)"/>
      <w:lvlJc w:val="left"/>
      <w:pPr>
        <w:tabs>
          <w:tab w:val="num" w:pos="0"/>
        </w:tabs>
        <w:ind w:left="2401" w:hanging="420"/>
      </w:pPr>
      <w:rPr>
        <w:rFonts w:ascii="方正黑体_GBK" w:eastAsia="方正黑体_GBK" w:hAnsi="方正黑体_GBK" w:hint="default"/>
      </w:rPr>
    </w:lvl>
    <w:lvl w:ilvl="5" w:tplc="DBB67370">
      <w:start w:val="1"/>
      <w:numFmt w:val="decimal"/>
      <w:lvlText w:val="%6."/>
      <w:lvlJc w:val="right"/>
      <w:pPr>
        <w:tabs>
          <w:tab w:val="num" w:pos="0"/>
        </w:tabs>
        <w:ind w:left="2821" w:hanging="420"/>
      </w:pPr>
      <w:rPr>
        <w:rFonts w:ascii="方正黑体_GBK" w:eastAsia="方正黑体_GBK" w:hAnsi="方正黑体_GBK" w:hint="default"/>
      </w:rPr>
    </w:lvl>
    <w:lvl w:ilvl="6" w:tplc="20B66274">
      <w:start w:val="1"/>
      <w:numFmt w:val="decimal"/>
      <w:lvlText w:val="%7."/>
      <w:lvlJc w:val="left"/>
      <w:pPr>
        <w:tabs>
          <w:tab w:val="num" w:pos="0"/>
        </w:tabs>
        <w:ind w:left="3241" w:hanging="420"/>
      </w:pPr>
      <w:rPr>
        <w:rFonts w:ascii="方正黑体_GBK" w:eastAsia="方正黑体_GBK" w:hAnsi="方正黑体_GBK" w:hint="default"/>
      </w:rPr>
    </w:lvl>
    <w:lvl w:ilvl="7" w:tplc="773CBAAE">
      <w:start w:val="1"/>
      <w:numFmt w:val="lowerLetter"/>
      <w:lvlText w:val="%8)"/>
      <w:lvlJc w:val="left"/>
      <w:pPr>
        <w:tabs>
          <w:tab w:val="num" w:pos="0"/>
        </w:tabs>
        <w:ind w:left="3661" w:hanging="420"/>
      </w:pPr>
      <w:rPr>
        <w:rFonts w:ascii="方正黑体_GBK" w:eastAsia="方正黑体_GBK" w:hAnsi="方正黑体_GBK" w:hint="default"/>
      </w:rPr>
    </w:lvl>
    <w:lvl w:ilvl="8" w:tplc="4636DC96">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6"/>
  </w:num>
  <w:num w:numId="2">
    <w:abstractNumId w:val="1"/>
  </w:num>
  <w:num w:numId="3">
    <w:abstractNumId w:val="12"/>
  </w:num>
  <w:num w:numId="4">
    <w:abstractNumId w:val="0"/>
  </w:num>
  <w:num w:numId="5">
    <w:abstractNumId w:val="5"/>
  </w:num>
  <w:num w:numId="6">
    <w:abstractNumId w:val="9"/>
  </w:num>
  <w:num w:numId="7">
    <w:abstractNumId w:val="10"/>
  </w:num>
  <w:num w:numId="8">
    <w:abstractNumId w:val="11"/>
  </w:num>
  <w:num w:numId="9">
    <w:abstractNumId w:val="7"/>
  </w:num>
  <w:num w:numId="10">
    <w:abstractNumId w:val="8"/>
  </w:num>
  <w:num w:numId="11">
    <w:abstractNumId w:val="4"/>
  </w:num>
  <w:num w:numId="12">
    <w:abstractNumId w:val="14"/>
  </w:num>
  <w:num w:numId="13">
    <w:abstractNumId w:val="3"/>
  </w:num>
  <w:num w:numId="14">
    <w:abstractNumId w:val="2"/>
  </w:num>
  <w:num w:numId="15">
    <w:abstractNumId w:val="13"/>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0"/>
    <w:lvlOverride w:ilvl="0">
      <w:startOverride w:val="1"/>
    </w:lvlOverride>
  </w:num>
  <w:num w:numId="19">
    <w:abstractNumId w:val="11"/>
    <w:lvlOverride w:ilvl="0">
      <w:startOverride w:val="1"/>
    </w:lvlOverride>
  </w:num>
  <w:num w:numId="20">
    <w:abstractNumId w:val="7"/>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9F1694"/>
    <w:rsid w:val="005E592C"/>
    <w:rsid w:val="00987001"/>
    <w:rsid w:val="009F1694"/>
    <w:rsid w:val="00B63A52"/>
    <w:rsid w:val="00CA2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C6535-F59E-4133-82F2-D15672E6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uiPriority w:val="39"/>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d8280a79">
    <w:name w:val="Normald8280a79"/>
    <w:pPr>
      <w:widowControl w:val="0"/>
      <w:jc w:val="both"/>
    </w:pPr>
    <w:rPr>
      <w:rFonts w:ascii="方正黑体_GBK" w:eastAsia="方正黑体_GBK" w:hAnsi="方正黑体_GBK" w:cs="Times New Roman"/>
      <w:szCs w:val="21"/>
    </w:rPr>
  </w:style>
  <w:style w:type="paragraph" w:customStyle="1" w:styleId="heading1fb198b9f">
    <w:name w:val="heading 1fb198b9f"/>
    <w:basedOn w:val="Normald8280a79"/>
    <w:next w:val="a"/>
    <w:pPr>
      <w:keepNext/>
      <w:keepLines/>
      <w:spacing w:before="340" w:after="330" w:line="578" w:lineRule="auto"/>
      <w:outlineLvl w:val="0"/>
    </w:pPr>
    <w:rPr>
      <w:b/>
      <w:bCs/>
      <w:kern w:val="44"/>
      <w:sz w:val="44"/>
    </w:rPr>
  </w:style>
  <w:style w:type="paragraph" w:customStyle="1" w:styleId="heading2c92d4505">
    <w:name w:val="heading 2c92d4505"/>
    <w:basedOn w:val="Normald8280a79"/>
    <w:next w:val="a"/>
    <w:pPr>
      <w:keepNext/>
      <w:keepLines/>
      <w:spacing w:before="260" w:after="260" w:line="415" w:lineRule="auto"/>
      <w:outlineLvl w:val="1"/>
    </w:pPr>
    <w:rPr>
      <w:b/>
      <w:sz w:val="32"/>
    </w:rPr>
  </w:style>
  <w:style w:type="paragraph" w:customStyle="1" w:styleId="heading3ee9d93e7">
    <w:name w:val="heading 3ee9d93e7"/>
    <w:basedOn w:val="Normald8280a79"/>
    <w:next w:val="a"/>
    <w:pPr>
      <w:keepNext/>
      <w:keepLines/>
      <w:spacing w:before="260" w:after="260" w:line="415" w:lineRule="auto"/>
      <w:outlineLvl w:val="2"/>
    </w:pPr>
    <w:rPr>
      <w:b/>
      <w:sz w:val="32"/>
    </w:rPr>
  </w:style>
  <w:style w:type="character" w:customStyle="1" w:styleId="DefaultParagraphFont9f092304">
    <w:name w:val="Default Paragraph Font9f092304"/>
  </w:style>
  <w:style w:type="paragraph" w:customStyle="1" w:styleId="toc1799f6753">
    <w:name w:val="toc 1799f6753"/>
    <w:basedOn w:val="Normald8280a79"/>
    <w:next w:val="a"/>
    <w:autoRedefine/>
  </w:style>
  <w:style w:type="paragraph" w:customStyle="1" w:styleId="toc2454bff24">
    <w:name w:val="toc 2454bff24"/>
    <w:basedOn w:val="Normald8280a79"/>
    <w:next w:val="a"/>
    <w:autoRedefine/>
    <w:pPr>
      <w:ind w:left="420"/>
    </w:pPr>
  </w:style>
  <w:style w:type="paragraph" w:customStyle="1" w:styleId="toc3de44051c">
    <w:name w:val="toc 3de44051c"/>
    <w:basedOn w:val="Normald8280a79"/>
    <w:next w:val="a"/>
    <w:autoRedefine/>
    <w:pPr>
      <w:ind w:left="840"/>
    </w:pPr>
  </w:style>
  <w:style w:type="paragraph" w:customStyle="1" w:styleId="toc436eeeb36">
    <w:name w:val="toc 436eeeb36"/>
    <w:basedOn w:val="Normald8280a79"/>
    <w:next w:val="a"/>
    <w:autoRedefine/>
    <w:pPr>
      <w:ind w:left="1260"/>
    </w:pPr>
  </w:style>
  <w:style w:type="paragraph" w:customStyle="1" w:styleId="toc5a9e0c77d">
    <w:name w:val="toc 5a9e0c77d"/>
    <w:basedOn w:val="Normald8280a79"/>
    <w:next w:val="a"/>
    <w:autoRedefine/>
    <w:pPr>
      <w:ind w:left="1680"/>
    </w:pPr>
  </w:style>
  <w:style w:type="paragraph" w:customStyle="1" w:styleId="header75cea4e1">
    <w:name w:val="header75cea4e1"/>
    <w:basedOn w:val="Normald8280a79"/>
    <w:pPr>
      <w:pBdr>
        <w:bottom w:val="single" w:sz="6" w:space="1" w:color="auto"/>
      </w:pBdr>
      <w:tabs>
        <w:tab w:val="center" w:pos="4153"/>
        <w:tab w:val="right" w:pos="8307"/>
      </w:tabs>
      <w:snapToGrid w:val="0"/>
      <w:jc w:val="center"/>
    </w:pPr>
    <w:rPr>
      <w:sz w:val="18"/>
    </w:rPr>
  </w:style>
  <w:style w:type="paragraph" w:customStyle="1" w:styleId="footere79560c7">
    <w:name w:val="footere79560c7"/>
    <w:basedOn w:val="Normald8280a79"/>
    <w:pPr>
      <w:tabs>
        <w:tab w:val="center" w:pos="4153"/>
        <w:tab w:val="right" w:pos="8307"/>
      </w:tabs>
      <w:snapToGrid w:val="0"/>
      <w:jc w:val="left"/>
    </w:pPr>
    <w:rPr>
      <w:sz w:val="18"/>
    </w:rPr>
  </w:style>
  <w:style w:type="character" w:customStyle="1" w:styleId="Strong51b891d4">
    <w:name w:val="Strong51b891d4"/>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79ca7f08">
    <w:name w:val="Normal79ca7f08"/>
    <w:next w:val="10"/>
    <w:pPr>
      <w:widowControl w:val="0"/>
      <w:jc w:val="both"/>
    </w:pPr>
    <w:rPr>
      <w:rFonts w:ascii="方正黑体_GBK" w:eastAsia="方正黑体_GBK" w:hAnsi="方正黑体_GBK" w:cs="Times New Roman"/>
      <w:sz w:val="18"/>
      <w:szCs w:val="18"/>
    </w:rPr>
  </w:style>
  <w:style w:type="paragraph" w:customStyle="1" w:styleId="heading1e7c036c9">
    <w:name w:val="heading 1e7c036c9"/>
    <w:basedOn w:val="Normal79ca7f08"/>
    <w:next w:val="a"/>
    <w:pPr>
      <w:keepNext/>
      <w:keepLines/>
      <w:spacing w:before="340" w:after="330" w:line="578" w:lineRule="auto"/>
      <w:outlineLvl w:val="0"/>
    </w:pPr>
    <w:rPr>
      <w:b/>
      <w:bCs/>
      <w:kern w:val="44"/>
      <w:sz w:val="44"/>
    </w:rPr>
  </w:style>
  <w:style w:type="paragraph" w:customStyle="1" w:styleId="heading22bb4c41a">
    <w:name w:val="heading 22bb4c41a"/>
    <w:basedOn w:val="Normal79ca7f08"/>
    <w:next w:val="a"/>
    <w:pPr>
      <w:keepNext/>
      <w:keepLines/>
      <w:spacing w:before="260" w:after="260" w:line="415" w:lineRule="auto"/>
      <w:outlineLvl w:val="1"/>
    </w:pPr>
    <w:rPr>
      <w:b/>
      <w:sz w:val="32"/>
    </w:rPr>
  </w:style>
  <w:style w:type="paragraph" w:customStyle="1" w:styleId="heading31e5099b9">
    <w:name w:val="heading 31e5099b9"/>
    <w:basedOn w:val="Normal79ca7f08"/>
    <w:next w:val="a"/>
    <w:pPr>
      <w:keepNext/>
      <w:keepLines/>
      <w:spacing w:before="260" w:after="260" w:line="415" w:lineRule="auto"/>
      <w:outlineLvl w:val="2"/>
    </w:pPr>
    <w:rPr>
      <w:b/>
      <w:sz w:val="32"/>
    </w:rPr>
  </w:style>
  <w:style w:type="character" w:customStyle="1" w:styleId="DefaultParagraphFontc1ac5e80">
    <w:name w:val="Default Paragraph Fontc1ac5e80"/>
  </w:style>
  <w:style w:type="paragraph" w:customStyle="1" w:styleId="NormalIndent8b1c41ee">
    <w:name w:val="Normal Indent8b1c41ee"/>
    <w:basedOn w:val="Normal79ca7f08"/>
    <w:pPr>
      <w:ind w:firstLineChars="200" w:firstLine="200"/>
    </w:pPr>
  </w:style>
  <w:style w:type="paragraph" w:customStyle="1" w:styleId="toc56cb50d5b">
    <w:name w:val="toc 56cb50d5b"/>
    <w:basedOn w:val="Normal79ca7f08"/>
    <w:next w:val="a"/>
    <w:pPr>
      <w:ind w:left="1680"/>
    </w:pPr>
  </w:style>
  <w:style w:type="paragraph" w:customStyle="1" w:styleId="toc3990910e8">
    <w:name w:val="toc 3990910e8"/>
    <w:basedOn w:val="Normal79ca7f08"/>
    <w:next w:val="a"/>
    <w:pPr>
      <w:ind w:left="840"/>
    </w:pPr>
  </w:style>
  <w:style w:type="paragraph" w:customStyle="1" w:styleId="footerbcdcbda5">
    <w:name w:val="footerbcdcbda5"/>
    <w:basedOn w:val="Normal79ca7f08"/>
    <w:pPr>
      <w:tabs>
        <w:tab w:val="center" w:pos="4153"/>
        <w:tab w:val="right" w:pos="8307"/>
      </w:tabs>
      <w:snapToGrid w:val="0"/>
      <w:jc w:val="left"/>
    </w:pPr>
  </w:style>
  <w:style w:type="paragraph" w:customStyle="1" w:styleId="header47290891">
    <w:name w:val="header47290891"/>
    <w:basedOn w:val="Normal79ca7f08"/>
    <w:pPr>
      <w:pBdr>
        <w:bottom w:val="single" w:sz="6" w:space="1" w:color="auto"/>
      </w:pBdr>
      <w:tabs>
        <w:tab w:val="center" w:pos="4153"/>
        <w:tab w:val="right" w:pos="8307"/>
      </w:tabs>
      <w:snapToGrid w:val="0"/>
      <w:jc w:val="center"/>
    </w:pPr>
  </w:style>
  <w:style w:type="paragraph" w:customStyle="1" w:styleId="toc130ca095d">
    <w:name w:val="toc 130ca095d"/>
    <w:basedOn w:val="Normal79ca7f08"/>
    <w:next w:val="a"/>
  </w:style>
  <w:style w:type="paragraph" w:customStyle="1" w:styleId="toc4b14f82c6">
    <w:name w:val="toc 4b14f82c6"/>
    <w:basedOn w:val="Normal79ca7f08"/>
    <w:next w:val="a"/>
    <w:pPr>
      <w:ind w:left="1260"/>
    </w:pPr>
  </w:style>
  <w:style w:type="paragraph" w:customStyle="1" w:styleId="toc2bbb83bd5">
    <w:name w:val="toc 2bbb83bd5"/>
    <w:basedOn w:val="Normal79ca7f08"/>
    <w:next w:val="a"/>
    <w:pPr>
      <w:ind w:left="420"/>
    </w:pPr>
  </w:style>
  <w:style w:type="paragraph" w:customStyle="1" w:styleId="NormalWeb8ce569e7">
    <w:name w:val="Normal (Web)8ce569e7"/>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b383aa26b383aa26">
    <w:name w:val="Normalb383aa26b383aa26"/>
    <w:next w:val="10"/>
    <w:pPr>
      <w:widowControl w:val="0"/>
      <w:jc w:val="both"/>
    </w:pPr>
    <w:rPr>
      <w:rFonts w:ascii="方正黑体_GBK" w:eastAsia="方正黑体_GBK" w:hAnsi="方正黑体_GBK" w:cs="Times New Roman"/>
      <w:szCs w:val="21"/>
    </w:rPr>
  </w:style>
  <w:style w:type="paragraph" w:customStyle="1" w:styleId="heading14591ba5d4591ba5d">
    <w:name w:val="heading 14591ba5d4591ba5d"/>
    <w:basedOn w:val="Normalb383aa26b383aa26"/>
    <w:next w:val="a"/>
    <w:pPr>
      <w:keepNext/>
      <w:keepLines/>
      <w:spacing w:before="340" w:after="330" w:line="578" w:lineRule="auto"/>
      <w:outlineLvl w:val="0"/>
    </w:pPr>
    <w:rPr>
      <w:b/>
      <w:bCs/>
      <w:kern w:val="44"/>
      <w:sz w:val="44"/>
    </w:rPr>
  </w:style>
  <w:style w:type="paragraph" w:customStyle="1" w:styleId="heading2360049f4360049f4">
    <w:name w:val="heading 2360049f4360049f4"/>
    <w:basedOn w:val="Normalb383aa26b383aa26"/>
    <w:next w:val="a"/>
    <w:pPr>
      <w:keepNext/>
      <w:keepLines/>
      <w:spacing w:before="260" w:after="260" w:line="415" w:lineRule="auto"/>
      <w:outlineLvl w:val="1"/>
    </w:pPr>
    <w:rPr>
      <w:b/>
      <w:sz w:val="32"/>
    </w:rPr>
  </w:style>
  <w:style w:type="paragraph" w:customStyle="1" w:styleId="heading3fac9eedffac9eedf">
    <w:name w:val="heading 3fac9eedffac9eedf"/>
    <w:basedOn w:val="Normalb383aa26b383aa26"/>
    <w:next w:val="a"/>
    <w:pPr>
      <w:keepNext/>
      <w:keepLines/>
      <w:spacing w:before="260" w:after="260" w:line="415" w:lineRule="auto"/>
      <w:outlineLvl w:val="2"/>
    </w:pPr>
    <w:rPr>
      <w:b/>
      <w:sz w:val="32"/>
    </w:rPr>
  </w:style>
  <w:style w:type="character" w:customStyle="1" w:styleId="DefaultParagraphFont01308ab301308ab3">
    <w:name w:val="Default Paragraph Font01308ab301308ab3"/>
  </w:style>
  <w:style w:type="paragraph" w:customStyle="1" w:styleId="125b3b04f25b3b04f">
    <w:name w:val="引文目录125b3b04f25b3b04f"/>
    <w:basedOn w:val="Normalb383aa26b383aa26"/>
    <w:next w:val="a"/>
    <w:pPr>
      <w:ind w:leftChars="200" w:left="200"/>
    </w:pPr>
  </w:style>
  <w:style w:type="paragraph" w:customStyle="1" w:styleId="toc5cf962cc3cf962cc3">
    <w:name w:val="toc 5cf962cc3cf962cc3"/>
    <w:basedOn w:val="Normalb383aa26b383aa26"/>
    <w:next w:val="a"/>
    <w:pPr>
      <w:ind w:left="1680"/>
    </w:pPr>
  </w:style>
  <w:style w:type="paragraph" w:customStyle="1" w:styleId="toc3c45fd9b6c45fd9b6">
    <w:name w:val="toc 3c45fd9b6c45fd9b6"/>
    <w:basedOn w:val="Normalb383aa26b383aa26"/>
    <w:next w:val="a"/>
    <w:pPr>
      <w:ind w:left="840"/>
    </w:pPr>
  </w:style>
  <w:style w:type="paragraph" w:customStyle="1" w:styleId="footer7ea713bf7ea713bf">
    <w:name w:val="footer7ea713bf7ea713bf"/>
    <w:basedOn w:val="Normalb383aa26b383aa26"/>
    <w:pPr>
      <w:tabs>
        <w:tab w:val="center" w:pos="4153"/>
        <w:tab w:val="right" w:pos="8307"/>
      </w:tabs>
      <w:snapToGrid w:val="0"/>
      <w:jc w:val="left"/>
    </w:pPr>
    <w:rPr>
      <w:sz w:val="18"/>
    </w:rPr>
  </w:style>
  <w:style w:type="paragraph" w:customStyle="1" w:styleId="header650f309d650f309d">
    <w:name w:val="header650f309d650f309d"/>
    <w:basedOn w:val="Normalb383aa26b383aa26"/>
    <w:pPr>
      <w:pBdr>
        <w:bottom w:val="single" w:sz="6" w:space="1" w:color="auto"/>
      </w:pBdr>
      <w:tabs>
        <w:tab w:val="center" w:pos="4153"/>
        <w:tab w:val="right" w:pos="8307"/>
      </w:tabs>
      <w:snapToGrid w:val="0"/>
      <w:jc w:val="center"/>
    </w:pPr>
    <w:rPr>
      <w:sz w:val="18"/>
    </w:rPr>
  </w:style>
  <w:style w:type="paragraph" w:customStyle="1" w:styleId="toc1e12f8b94e12f8b94">
    <w:name w:val="toc 1e12f8b94e12f8b94"/>
    <w:basedOn w:val="Normalb383aa26b383aa26"/>
    <w:next w:val="a"/>
  </w:style>
  <w:style w:type="paragraph" w:customStyle="1" w:styleId="toc459c7282c59c7282c">
    <w:name w:val="toc 459c7282c59c7282c"/>
    <w:basedOn w:val="Normalb383aa26b383aa26"/>
    <w:next w:val="a"/>
    <w:pPr>
      <w:ind w:left="1260"/>
    </w:pPr>
  </w:style>
  <w:style w:type="paragraph" w:customStyle="1" w:styleId="toc27a1dce767a1dce76">
    <w:name w:val="toc 27a1dce767a1dce76"/>
    <w:basedOn w:val="Normalb383aa26b383aa26"/>
    <w:next w:val="a"/>
    <w:pPr>
      <w:ind w:left="420"/>
    </w:pPr>
  </w:style>
  <w:style w:type="paragraph" w:customStyle="1" w:styleId="11e3275c81e3275c8">
    <w:name w:val="列出段落11e3275c81e3275c8"/>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987001"/>
    <w:rPr>
      <w:rFonts w:ascii="方正黑体_GBK" w:eastAsia="方正黑体_GBK" w:hAnsi="方正黑体_GBK" w:cs="Times New Roman"/>
      <w:sz w:val="18"/>
      <w:szCs w:val="21"/>
    </w:rPr>
  </w:style>
  <w:style w:type="character" w:customStyle="1" w:styleId="a6">
    <w:name w:val="页脚 字符"/>
    <w:basedOn w:val="a0"/>
    <w:link w:val="a5"/>
    <w:rsid w:val="00987001"/>
    <w:rPr>
      <w:rFonts w:ascii="方正黑体_GBK" w:eastAsia="方正黑体_GBK" w:hAnsi="方正黑体_GBK" w:cs="Times New Roman"/>
      <w:sz w:val="18"/>
      <w:szCs w:val="21"/>
    </w:rPr>
  </w:style>
  <w:style w:type="paragraph" w:styleId="a8">
    <w:name w:val="Normal Indent"/>
    <w:basedOn w:val="a"/>
    <w:qFormat/>
    <w:rsid w:val="00987001"/>
    <w:pPr>
      <w:ind w:firstLineChars="200" w:firstLine="200"/>
    </w:pPr>
    <w:rPr>
      <w:rFonts w:ascii="Times New Roman" w:eastAsia="宋体" w:hAnsi="Times New Roman"/>
      <w:sz w:val="18"/>
      <w:szCs w:val="18"/>
    </w:rPr>
  </w:style>
  <w:style w:type="paragraph" w:styleId="a9">
    <w:name w:val="annotation text"/>
    <w:basedOn w:val="a"/>
    <w:link w:val="aa"/>
    <w:qFormat/>
    <w:rsid w:val="00987001"/>
    <w:pPr>
      <w:jc w:val="left"/>
    </w:pPr>
    <w:rPr>
      <w:rFonts w:ascii="Times New Roman" w:eastAsia="宋体" w:hAnsi="Times New Roman"/>
      <w:sz w:val="18"/>
      <w:szCs w:val="18"/>
    </w:rPr>
  </w:style>
  <w:style w:type="character" w:customStyle="1" w:styleId="aa">
    <w:name w:val="批注文字 字符"/>
    <w:basedOn w:val="a0"/>
    <w:link w:val="a9"/>
    <w:rsid w:val="00987001"/>
    <w:rPr>
      <w:rFonts w:ascii="Times New Roman" w:eastAsia="宋体" w:hAnsi="Times New Roman" w:cs="Times New Roman"/>
      <w:sz w:val="18"/>
      <w:szCs w:val="18"/>
    </w:rPr>
  </w:style>
  <w:style w:type="paragraph" w:styleId="ab">
    <w:name w:val="Normal (Web)"/>
    <w:next w:val="10"/>
    <w:qFormat/>
    <w:rsid w:val="00987001"/>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987001"/>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987001"/>
    <w:pPr>
      <w:ind w:firstLineChars="200" w:firstLine="420"/>
    </w:pPr>
    <w:rPr>
      <w:rFonts w:ascii="Times New Roman" w:eastAsia="宋体" w:hAnsi="Times New Roman"/>
      <w:sz w:val="18"/>
      <w:szCs w:val="18"/>
    </w:rPr>
  </w:style>
  <w:style w:type="character" w:customStyle="1" w:styleId="fontstyle01">
    <w:name w:val="fontstyle01"/>
    <w:qFormat/>
    <w:rsid w:val="00987001"/>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6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6224</Words>
  <Characters>35477</Characters>
  <Application>Microsoft Office Word</Application>
  <DocSecurity>0</DocSecurity>
  <Lines>295</Lines>
  <Paragraphs>83</Paragraphs>
  <ScaleCrop>false</ScaleCrop>
  <Company>P R C</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dcterms:created xsi:type="dcterms:W3CDTF">2022-08-09T07:38:00Z</dcterms:created>
  <dcterms:modified xsi:type="dcterms:W3CDTF">2025-03-21T07:37:00Z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y fmtid="{D5CDD505-2E9C-101B-9397-08002B2CF9AE}" pid="4" name="_KSOProductBuildMID">
    <vt:lpwstr>CZWFY6GD7RYQ00TGQKRNRLJF7ZC0OYVREX06WJDWXGHRTGCTNRBRVC0HFYSHP88RAXMX5OZFZIXD8MXJQXFARFFV89Q0WHCB8FOOIHB317AEC75DE03A6E7750C0F09BB7E6157B</vt:lpwstr>
  </property>
  <property fmtid="{D5CDD505-2E9C-101B-9397-08002B2CF9AE}" pid="5" name="_KSOProductBuildSID">
    <vt:lpwstr>3055B9D3F0684C4D951D355B6DC6D595</vt:lpwstr>
  </property>
</Properties>
</file>