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232B3">
        <w:rPr>
          <w:rFonts w:ascii="仿宋_GB2312" w:eastAsia="仿宋_GB2312" w:hAnsi="仿宋_GB2312" w:cs="仿宋_GB2312" w:hint="eastAsia"/>
          <w:szCs w:val="21"/>
        </w:rPr>
        <w:t>。</w:t>
      </w:r>
      <w:r w:rsidR="003232B3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232B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232B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191,267,430.65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232B3" w:rsidP="003232B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A6" w:rsidRDefault="005F2BA6" w:rsidP="0036722C">
      <w:r>
        <w:separator/>
      </w:r>
    </w:p>
  </w:endnote>
  <w:endnote w:type="continuationSeparator" w:id="1">
    <w:p w:rsidR="005F2BA6" w:rsidRDefault="005F2BA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A6" w:rsidRDefault="005F2BA6" w:rsidP="0036722C">
      <w:r>
        <w:separator/>
      </w:r>
    </w:p>
  </w:footnote>
  <w:footnote w:type="continuationSeparator" w:id="1">
    <w:p w:rsidR="005F2BA6" w:rsidRDefault="005F2BA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84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468A7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32B3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D5CC0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04E8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340D"/>
    <w:rsid w:val="008F58F5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0B8A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2021-03-09T06:59:00Z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