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南银理财珠联璧合致远一年定开3M公募人民币理财产品</w:t>
      </w: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2022年第4季度报告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产品管理人:南银理财有限责任公司</w:t>
      </w: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产品托管人:南京银行股份有限公司</w:t>
      </w:r>
    </w:p>
    <w:p>
      <w:pPr>
        <w:spacing w:before="240" w:after="72" w:line="360" w:lineRule="auto"/>
        <w:jc w:val="center"/>
        <w:rPr>
          <w:rFonts w:ascii="方正黑体简体" w:eastAsia="方正黑体简体"/>
          <w:sz w:val="36"/>
          <w:szCs w:val="36"/>
        </w:rPr>
      </w:pPr>
      <w:r>
        <w:rPr>
          <w:rFonts w:hint="eastAsia" w:ascii="方正黑体简体" w:eastAsia="方正黑体简体"/>
          <w:sz w:val="36"/>
          <w:szCs w:val="36"/>
        </w:rPr>
        <w:t xml:space="preserve"> </w:t>
      </w: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_GBK" w:hAnsi="宋体" w:eastAsia="方正仿宋_GBK" w:cs="宋体"/>
          <w:kern w:val="0"/>
          <w:sz w:val="24"/>
          <w:szCs w:val="24"/>
        </w:rPr>
      </w:pPr>
      <w:r>
        <w:rPr>
          <w:rFonts w:hint="eastAsia" w:ascii="方正仿宋_GBK" w:hAnsi="Calibri" w:eastAsia="方正仿宋_GBK"/>
          <w:b/>
        </w:rPr>
        <w:t xml:space="preserve">§1 </w:t>
      </w:r>
      <w:r>
        <w:rPr>
          <w:rFonts w:hint="eastAsia" w:ascii="方正仿宋_GBK" w:hAnsi="Calibri" w:eastAsia="方正仿宋_GBK"/>
          <w:b/>
          <w:sz w:val="24"/>
          <w:szCs w:val="24"/>
        </w:rPr>
        <w:t>产品概况</w:t>
      </w:r>
    </w:p>
    <w:tbl>
      <w:tblPr>
        <w:tblStyle w:val="5"/>
        <w:tblW w:w="8959"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894"/>
        <w:gridCol w:w="6065"/>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产品全称</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南银理财珠联璧合致远一年定开3M公募人民币理财产品</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07"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产品登记编码</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Z7003221000037（投资者可依据该编码在中国理财网www.chinawealth.com.cn查询理财产品相关信息）</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产品运作方式</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开放式净值型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产品成立日</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2018年03月20日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报告期末产品份额总额</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2,400,275,014.90份</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合作机构</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广发基金管理有限公司、鑫沅资产管理有限公司、中信期货有限公司、安信基金管理有限责任公司、万家基金管理有限公司、申万菱信基金管理有限公司、工银瑞信基金管理有限公司、中欧基金管理有限公司、华宝基金管理有限公司、华夏基金管理有限公司、华泰柏瑞基金管理有限公司、华商基金管理有限公司、招商基金管理有限公司、鑫元基金管理有限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产品管理人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南银理财有限责任公司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产品托管人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§2  主要财务指标和产品</w:t>
      </w:r>
      <w:r>
        <w:rPr>
          <w:rFonts w:hint="eastAsia" w:ascii="方正仿宋_GBK" w:eastAsia="方正仿宋_GBK"/>
          <w:b/>
          <w:sz w:val="24"/>
          <w:szCs w:val="24"/>
        </w:rPr>
        <w:t>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2.1 主要财务指标</w:t>
      </w:r>
    </w:p>
    <w:p>
      <w:pPr>
        <w:spacing w:before="240" w:after="72" w:line="360" w:lineRule="auto"/>
        <w:jc w:val="right"/>
        <w:rPr>
          <w:rFonts w:ascii="方正仿宋_GBK" w:eastAsia="方正仿宋_GBK"/>
          <w:sz w:val="24"/>
          <w:szCs w:val="24"/>
        </w:rPr>
      </w:pPr>
      <w:r>
        <w:rPr>
          <w:rFonts w:hint="eastAsia" w:ascii="方正仿宋_GBK" w:eastAsia="方正仿宋_GBK" w:cs="宋体"/>
          <w:kern w:val="0"/>
          <w:sz w:val="24"/>
          <w:szCs w:val="24"/>
        </w:rPr>
        <w:t>单位：人民币元</w:t>
      </w:r>
    </w:p>
    <w:tbl>
      <w:tblPr>
        <w:tblStyle w:val="5"/>
        <w:tblpPr w:leftFromText="180" w:rightFromText="180" w:vertAnchor="text" w:tblpXSpec="center" w:tblpY="1"/>
        <w:tblOverlap w:val="never"/>
        <w:tblW w:w="906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296"/>
        <w:gridCol w:w="2705"/>
        <w:gridCol w:w="2030"/>
        <w:gridCol w:w="203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_GBK" w:eastAsia="方正仿宋_GBK"/>
                <w:sz w:val="24"/>
                <w:szCs w:val="24"/>
              </w:rPr>
            </w:pPr>
            <w:r>
              <w:rPr>
                <w:rFonts w:hint="eastAsia" w:ascii="方正仿宋_GBK" w:eastAsia="方正仿宋_GBK"/>
                <w:sz w:val="24"/>
                <w:szCs w:val="24"/>
              </w:rPr>
              <w:t>内部销售代码</w:t>
            </w:r>
          </w:p>
        </w:tc>
        <w:tc>
          <w:tcPr>
            <w:tcW w:w="6771" w:type="dxa"/>
            <w:gridSpan w:val="3"/>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报告期（2022年10月01日 - 2022年12月31日）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_GBK" w:eastAsia="方正仿宋_GBK"/>
                <w:sz w:val="24"/>
                <w:szCs w:val="24"/>
              </w:rPr>
            </w:pPr>
          </w:p>
        </w:tc>
        <w:tc>
          <w:tcPr>
            <w:tcW w:w="2705"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1.期末产品最后一个市场交易日资产净值</w:t>
            </w:r>
          </w:p>
        </w:tc>
        <w:tc>
          <w:tcPr>
            <w:tcW w:w="2030"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2.期末产品最后一个市场交易日份额净值</w:t>
            </w:r>
          </w:p>
        </w:tc>
        <w:tc>
          <w:tcPr>
            <w:tcW w:w="2036"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3.期末产品最后一个市场交易日份额累计净值</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296" w:type="dxa"/>
            <w:vAlign w:val="center"/>
          </w:tcPr>
          <w:p>
            <w:pPr>
              <w:spacing w:before="48" w:beforeLines="20" w:after="48" w:afterLines="20" w:line="360" w:lineRule="auto"/>
              <w:jc w:val="center"/>
              <w:textAlignment w:val="center"/>
              <w:rPr>
                <w:rFonts w:ascii="方正仿宋_GBK" w:eastAsia="方正仿宋_GBK"/>
                <w:sz w:val="24"/>
                <w:szCs w:val="24"/>
                <w:shd w:val="clear" w:color="auto" w:fill="FFFFFF"/>
              </w:rPr>
            </w:pPr>
            <w:r>
              <w:rPr>
                <w:rFonts w:ascii="方正仿宋_GBK" w:hAnsi="方正仿宋_GBK" w:eastAsia="方正仿宋_GBK" w:cs="方正仿宋_GBK"/>
                <w:sz w:val="24"/>
              </w:rPr>
              <w:t>Z10011</w:t>
            </w:r>
          </w:p>
        </w:tc>
        <w:tc>
          <w:tcPr>
            <w:tcW w:w="2705"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2,454,602,225.17</w:t>
            </w:r>
          </w:p>
        </w:tc>
        <w:tc>
          <w:tcPr>
            <w:tcW w:w="2030"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1.0226</w:t>
            </w:r>
          </w:p>
        </w:tc>
        <w:tc>
          <w:tcPr>
            <w:tcW w:w="2036"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1.2564</w:t>
            </w:r>
          </w:p>
        </w:tc>
      </w:tr>
    </w:tbl>
    <w:p>
      <w:pPr>
        <w:pStyle w:val="10"/>
        <w:spacing w:before="240" w:after="72" w:line="360" w:lineRule="auto"/>
        <w:ind w:left="0"/>
        <w:rPr>
          <w:color w:val="000000"/>
        </w:rPr>
      </w:pPr>
      <w:r>
        <w:rPr>
          <w:rFonts w:hint="eastAsia" w:ascii="方正仿宋_GBK" w:eastAsia="方正仿宋_GBK" w:hAnsiTheme="minorHAnsi" w:cstheme="minorBidi"/>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2.2 产品业绩比较基准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2.2.1本报告期产品业绩比较基准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4616"/>
        <w:gridCol w:w="1964"/>
        <w:gridCol w:w="2322"/>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616"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阶段</w:t>
            </w:r>
          </w:p>
        </w:tc>
        <w:tc>
          <w:tcPr>
            <w:tcW w:w="1964"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内部销售代码</w:t>
            </w:r>
          </w:p>
        </w:tc>
        <w:tc>
          <w:tcPr>
            <w:tcW w:w="2322"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业绩比较基准</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616"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2022年10月01日 - 2022年12月31日</w:t>
            </w:r>
          </w:p>
        </w:tc>
        <w:tc>
          <w:tcPr>
            <w:tcW w:w="1964"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Z10011</w:t>
            </w:r>
          </w:p>
        </w:tc>
        <w:tc>
          <w:tcPr>
            <w:tcW w:w="2322"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-1.45%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§3  管理人报告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3.1 报告期内产品的投资策略和运作分析</w:t>
      </w:r>
      <w:r>
        <w:rPr>
          <w:rFonts w:hint="eastAsia" w:ascii="方正仿宋_GBK" w:eastAsia="方正仿宋_GBK"/>
          <w:b/>
          <w:sz w:val="24"/>
          <w:szCs w:val="24"/>
        </w:rPr>
        <w:tab/>
      </w:r>
    </w:p>
    <w:p>
      <w:pPr>
        <w:spacing w:before="240" w:after="72" w:line="360" w:lineRule="auto"/>
        <w:ind w:firstLine="420"/>
        <w:rPr>
          <w:rFonts w:hint="eastAsia" w:ascii="方正仿宋_GBK" w:eastAsia="方正仿宋_GBK"/>
          <w:sz w:val="24"/>
          <w:szCs w:val="24"/>
        </w:rPr>
      </w:pPr>
      <w:r>
        <w:rPr>
          <w:rFonts w:hint="eastAsia" w:ascii="方正仿宋_GBK" w:eastAsia="方正仿宋_GBK"/>
          <w:sz w:val="24"/>
          <w:szCs w:val="24"/>
        </w:rPr>
        <w:t>四季度，国内基本面数据维持弱势，疫情防控优化伴随冬季疫情高发期，感染人数明显增长，对经济活动形成明显压制，出口下行压力也明显增强。政策层面继续发力对冲经济下行压力，疫情防控动态优化，房地产行业政策频出。国内货币政策整体偏松，海外加息有触顶迹象。</w:t>
      </w:r>
      <w:r>
        <w:rPr>
          <w:rFonts w:hint="eastAsia" w:ascii="方正仿宋_GBK" w:eastAsia="方正仿宋_GBK"/>
          <w:sz w:val="24"/>
          <w:szCs w:val="24"/>
        </w:rPr>
        <w:br w:type="textWrapping" w:clear="all"/>
      </w:r>
      <w:r>
        <w:rPr>
          <w:rFonts w:hint="eastAsia" w:ascii="方正仿宋_GBK" w:eastAsia="方正仿宋_GBK"/>
          <w:sz w:val="24"/>
          <w:szCs w:val="24"/>
        </w:rPr>
        <w:t xml:space="preserve">    市场方面，疫情防控政策与房地产政策的变化成为影响四季度股债市场的关键因素。随着预期的转变，债券市场逐步出现调整，随后引发机构踩踏，尤其是信用债打破了此前的资产荒格局。总体来看，四季度债券收益率整体呈现了明显的上行，至季末10年期国债收益率上行7bp至2.84%，3年期AA+信用债收益率则大幅上行75bp至3.57%。权益市场则先抑后扬，在10月末触底后转为震荡上行，板块轮动加剧。沪深300指数四季度上涨1.75%，但全年仍大幅下跌21.63%，年度跌幅近10年来仅次于2018年。</w:t>
      </w:r>
      <w:r>
        <w:rPr>
          <w:rFonts w:hint="eastAsia" w:ascii="方正仿宋_GBK" w:eastAsia="方正仿宋_GBK"/>
          <w:sz w:val="24"/>
          <w:szCs w:val="24"/>
        </w:rPr>
        <w:br w:type="textWrapping" w:clear="all"/>
      </w:r>
      <w:r>
        <w:rPr>
          <w:rFonts w:hint="eastAsia" w:ascii="方正仿宋_GBK" w:eastAsia="方正仿宋_GBK"/>
          <w:sz w:val="24"/>
          <w:szCs w:val="24"/>
        </w:rPr>
        <w:t xml:space="preserve">    展望后市，债券市场依然多空交织，一方面，经济复苏的一致预期对债市难言有利，另一方面，资金面有望保持平稳偏松，叠加跨年后的机构配置需求，对债券资产形成支撑。预计利率债将维持震荡行情。而信用债已处于明显的超调位置，信用利差处于历史高位，配置价值凸显。随着负反馈的结束，信用债的定价将重回基本面，本产品也将积极把握当前信用债的投资机会，为投资者提供稳健回报。权益方面，A股市场当前估值较为便宜，具备中长期配置价值，而过去一年压制股票市场的负面因素都出现了缓解。本产品将以更为积极的态度介入权益市场，把握经济复苏+流动性宽松这一有利宏观组合下的投资机会。</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3.2 报告期内产品的流动性风险分析</w:t>
      </w:r>
    </w:p>
    <w:p>
      <w:pPr>
        <w:spacing w:before="240" w:after="72" w:line="360" w:lineRule="auto"/>
        <w:rPr>
          <w:rFonts w:ascii="方正仿宋_GBK" w:eastAsia="方正仿宋_GBK"/>
          <w:sz w:val="24"/>
          <w:szCs w:val="24"/>
        </w:rPr>
      </w:pPr>
      <w:r>
        <w:rPr>
          <w:rFonts w:ascii="方正仿宋_GBK" w:eastAsia="方正仿宋_GBK"/>
          <w:sz w:val="24"/>
          <w:szCs w:val="24"/>
        </w:rPr>
        <w:t>    本产品主要投向具有良好流动性的金融工具（包括但不限于国内依法发行的债券和证券投资基金等），并对标的</w:t>
      </w:r>
      <w:bookmarkStart w:id="0" w:name="_GoBack"/>
      <w:bookmarkEnd w:id="0"/>
      <w:r>
        <w:rPr>
          <w:rFonts w:ascii="方正仿宋_GBK" w:eastAsia="方正仿宋_GBK"/>
          <w:sz w:val="24"/>
          <w:szCs w:val="24"/>
        </w:rPr>
        <w:t>进行分散化投资，防范流动性风险。本产品所投资的非标准化债权类资产的投资比例，不超过产品说明书约定的比例上限，资产到期日不晚于本产品的最近一次开放日。</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3.3 报告期内产品的业绩表现</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截至报告期末，本产品份额净值为1.0226元。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§4  投资组合报告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4.1 报告期末产品资产组合情况</w:t>
      </w:r>
    </w:p>
    <w:tbl>
      <w:tblPr>
        <w:tblStyle w:val="5"/>
        <w:tblpPr w:leftFromText="180" w:rightFromText="180" w:vertAnchor="text" w:tblpXSpec="center" w:tblpY="1"/>
        <w:tblOverlap w:val="never"/>
        <w:tblW w:w="8895"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资产类别</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穿透前占总资产比例</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穿透后占总资产比例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固定收益类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91.52%</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92.09%</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权益类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3.10%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4.25%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商品及金融衍生品类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混合类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5.38%</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3.66%</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合计</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58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代码</w:t>
            </w:r>
          </w:p>
        </w:tc>
        <w:tc>
          <w:tcPr>
            <w:tcW w:w="272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名称</w:t>
            </w:r>
          </w:p>
        </w:tc>
        <w:tc>
          <w:tcPr>
            <w:tcW w:w="2058"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公允价值（元）</w:t>
            </w:r>
          </w:p>
        </w:tc>
        <w:tc>
          <w:tcPr>
            <w:tcW w:w="181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占产品资产净值比例（％）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22088394</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22江苏启晟02</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199,977,651.20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8.15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22088424</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22海陵城发03</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199,951,183.88</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8.15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22088377</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22江宁科学02</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194,985,387.50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7.94</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22088442</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22泗洪城投01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99,973,002.62</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4.07</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22088453</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22太湖湾06</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83,975,845.90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3.42</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166277</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20海陵01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60,795,240.00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2.48</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101900299</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19江北国资MTN001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50,653,650.00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2.06</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102100584</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21中关科技MTN001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50,406,750.00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102103279</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21苏美达MTN001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50,372,450.00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162985</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20句容01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50,151,600.00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2.04</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_GBK" w:hAnsi="宋体" w:eastAsia="方正仿宋_GBK" w:cs="宋体"/>
          <w:b/>
          <w:sz w:val="24"/>
          <w:szCs w:val="24"/>
          <w:shd w:val="clear" w:color="auto" w:fill="FFFFFF"/>
        </w:rPr>
      </w:pPr>
      <w:r>
        <w:rPr>
          <w:rFonts w:hint="eastAsia" w:ascii="方正仿宋_GBK" w:hAnsi="宋体" w:eastAsia="方正仿宋_GBK" w:cs="宋体"/>
          <w:b/>
          <w:sz w:val="24"/>
          <w:szCs w:val="24"/>
          <w:shd w:val="clear" w:color="auto" w:fill="FFFFFF"/>
        </w:rPr>
        <w:t>4.3报告期末非标准化债权类资产明细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704"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融资客户</w:t>
            </w:r>
          </w:p>
        </w:tc>
        <w:tc>
          <w:tcPr>
            <w:tcW w:w="127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项目名称</w:t>
            </w:r>
          </w:p>
        </w:tc>
        <w:tc>
          <w:tcPr>
            <w:tcW w:w="154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剩余融资期限（</w:t>
            </w:r>
            <w:r>
              <w:rPr>
                <w:rFonts w:ascii="方正仿宋_GBK" w:hAnsi="仿宋_GB2312" w:eastAsia="方正仿宋_GBK" w:cs="仿宋_GB2312"/>
                <w:sz w:val="24"/>
                <w:szCs w:val="24"/>
              </w:rPr>
              <w:t>天）</w:t>
            </w:r>
          </w:p>
        </w:tc>
        <w:tc>
          <w:tcPr>
            <w:tcW w:w="138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到期收益分配</w:t>
            </w:r>
          </w:p>
        </w:tc>
        <w:tc>
          <w:tcPr>
            <w:tcW w:w="127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交易结构</w:t>
            </w:r>
          </w:p>
        </w:tc>
        <w:tc>
          <w:tcPr>
            <w:tcW w:w="101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风险状况</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江苏启晟集团有限公司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22江苏启晟02</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88</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泰州海陵城市发展集团有限公司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22海陵城发03</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90</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江苏武进太湖湾旅游发展有限公司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22太湖湾06</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92</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南京江宁科学园发展有限公司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22江宁科学02</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84</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连云港海州工业投资集团有限公司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22海州工投01</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90</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泗洪县城市建设投资经营集团有限公司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22泗洪城投01</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90</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§5 投资账户信息</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序号</w:t>
            </w:r>
          </w:p>
        </w:tc>
        <w:tc>
          <w:tcPr>
            <w:tcW w:w="1567"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账户类型</w:t>
            </w:r>
          </w:p>
        </w:tc>
        <w:tc>
          <w:tcPr>
            <w:tcW w:w="266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账号</w:t>
            </w:r>
          </w:p>
        </w:tc>
        <w:tc>
          <w:tcPr>
            <w:tcW w:w="1983"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账户名称</w:t>
            </w:r>
          </w:p>
        </w:tc>
        <w:tc>
          <w:tcPr>
            <w:tcW w:w="198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开户单位</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1</w:t>
            </w:r>
          </w:p>
        </w:tc>
        <w:tc>
          <w:tcPr>
            <w:tcW w:w="1567"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托管账户</w:t>
            </w:r>
          </w:p>
        </w:tc>
        <w:tc>
          <w:tcPr>
            <w:tcW w:w="266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0120020000000228</w:t>
            </w:r>
          </w:p>
        </w:tc>
        <w:tc>
          <w:tcPr>
            <w:tcW w:w="1983"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南京银行致远一年定开3M</w:t>
            </w:r>
          </w:p>
        </w:tc>
        <w:tc>
          <w:tcPr>
            <w:tcW w:w="198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§6 关联交易情况</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报告期内，产品投资于关联方发行的证券、关联方作为融资人的非标准化债权类资产业务交易金额0.00元。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产品投资于关联方承销的证券交易金额10,000,950.68元。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产品与关联方作为交易对手开展的投融资业务交易金额20,468,405.48元。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产品投资关联方作为管理人的资产管理产品交易金额5,000,000.00元。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产品应支付关联方托管费121,000.24元，应支付关联方代销费1,815,002.68元。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产品发生其他关联交易金额0.00元。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_GBK" w:hAnsi="Calibri" w:eastAsia="方正仿宋_GBK"/>
          <w:b/>
          <w:sz w:val="24"/>
          <w:szCs w:val="24"/>
        </w:rPr>
      </w:pPr>
      <w:r>
        <w:rPr>
          <w:rFonts w:hint="eastAsia" w:ascii="方正仿宋_GBK" w:hAnsi="Calibri" w:eastAsia="方正仿宋_GBK"/>
          <w:b/>
          <w:sz w:val="24"/>
          <w:szCs w:val="24"/>
        </w:rPr>
        <w:t>南银理财有限责任公司</w:t>
      </w:r>
    </w:p>
    <w:p>
      <w:pPr>
        <w:spacing w:before="240" w:after="72" w:line="360" w:lineRule="auto"/>
        <w:jc w:val="right"/>
        <w:rPr>
          <w:rFonts w:ascii="方正仿宋_GBK" w:eastAsia="方正仿宋_GBK"/>
          <w:b/>
          <w:sz w:val="24"/>
          <w:szCs w:val="24"/>
        </w:rPr>
      </w:pPr>
      <w:r>
        <w:rPr>
          <w:rFonts w:hint="eastAsia" w:ascii="方正仿宋_GBK" w:eastAsia="方正仿宋_GBK"/>
          <w:b/>
          <w:sz w:val="24"/>
          <w:szCs w:val="24"/>
        </w:rPr>
        <w:t>2022年12月31日</w:t>
      </w:r>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044BE"/>
    <w:rsid w:val="000121D1"/>
    <w:rsid w:val="00012CAC"/>
    <w:rsid w:val="000203D8"/>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50C13"/>
    <w:rsid w:val="0067684D"/>
    <w:rsid w:val="00676A68"/>
    <w:rsid w:val="0068398A"/>
    <w:rsid w:val="00693399"/>
    <w:rsid w:val="00695491"/>
    <w:rsid w:val="006C7930"/>
    <w:rsid w:val="007120E8"/>
    <w:rsid w:val="00714095"/>
    <w:rsid w:val="00717310"/>
    <w:rsid w:val="007347EF"/>
    <w:rsid w:val="007363F8"/>
    <w:rsid w:val="00751294"/>
    <w:rsid w:val="00766941"/>
    <w:rsid w:val="007672C3"/>
    <w:rsid w:val="00794F8E"/>
    <w:rsid w:val="007C0575"/>
    <w:rsid w:val="007C36B2"/>
    <w:rsid w:val="007C3F1F"/>
    <w:rsid w:val="007C7DC4"/>
    <w:rsid w:val="007D7CB7"/>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D038A1"/>
    <w:rsid w:val="00D35825"/>
    <w:rsid w:val="00D36374"/>
    <w:rsid w:val="00D45351"/>
    <w:rsid w:val="00D83890"/>
    <w:rsid w:val="00D95925"/>
    <w:rsid w:val="00DB25C1"/>
    <w:rsid w:val="00DB5077"/>
    <w:rsid w:val="00DD60D3"/>
    <w:rsid w:val="00DE5E66"/>
    <w:rsid w:val="00DE6F49"/>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4F6040DA"/>
    <w:rsid w:val="509470EC"/>
    <w:rsid w:val="59E74023"/>
    <w:rsid w:val="5EBA334B"/>
    <w:rsid w:val="654F116F"/>
    <w:rsid w:val="67344534"/>
    <w:rsid w:val="6B00012E"/>
    <w:rsid w:val="702871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30" w:afterLines="30"/>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180754A2.dotm</Template>
  <Company>cc</Company>
  <Pages>7</Pages>
  <Words>2719</Words>
  <Characters>3331</Characters>
  <Lines>16</Lines>
  <Paragraphs>4</Paragraphs>
  <TotalTime>23</TotalTime>
  <ScaleCrop>false</ScaleCrop>
  <LinksUpToDate>false</LinksUpToDate>
  <CharactersWithSpaces>3381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2022-07-23T09:20:00Z</dcterms:created>
  <dc:creator>演示人</dc:creator>
  <cp:lastModifiedBy>笨</cp:lastModifiedBy>
  <dcterms:modified xsi:type="dcterms:W3CDTF">2023-01-16T08:25:36Z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DA7D07A671F94F61B430BF557E8AE20F</vt:lpwstr>
  </property>
</Properties>
</file>