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南银理财珠联璧合行稳一年定开7M公募人民币理财产品</w:t>
      </w: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jc w:val="center"/>
        <w:rPr>
          <w:rFonts w:ascii="方正黑体简体" w:eastAsia="方正黑体简体"/>
          <w:sz w:val="36"/>
          <w:szCs w:val="36"/>
        </w:rPr>
      </w:pPr>
      <w:r>
        <w:rPr>
          <w:rFonts w:hint="eastAsia" w:ascii="方正黑体简体" w:eastAsia="方正黑体简体"/>
          <w:sz w:val="36"/>
          <w:szCs w:val="36"/>
        </w:rPr>
        <w:t xml:space="preserve"> </w:t>
      </w: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_GBK" w:hAnsi="宋体" w:eastAsia="方正仿宋_GBK" w:cs="宋体"/>
          <w:kern w:val="0"/>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W w:w="8959"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894"/>
        <w:gridCol w:w="6065"/>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南银理财珠联璧合行稳一年定开7M公募人民币理财产品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Z7003221000034（投资者可依据该编码在中国理财网www.chinawealth.com.cn查询理财产品相关信息）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2018年08月03日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4,236,329,123.97份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南方基金管理股份有限公司、万家基金管理有限公司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主要财务指标和产品</w:t>
      </w:r>
      <w:r>
        <w:rPr>
          <w:rFonts w:hint="eastAsia" w:ascii="方正仿宋_GBK" w:eastAsia="方正仿宋_GBK"/>
          <w:b/>
          <w:sz w:val="24"/>
          <w:szCs w:val="24"/>
        </w:rPr>
        <w:t>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705"/>
        <w:gridCol w:w="2030"/>
        <w:gridCol w:w="203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_GBK" w:eastAsia="方正仿宋_GBK"/>
                <w:sz w:val="24"/>
                <w:szCs w:val="24"/>
              </w:rPr>
            </w:pPr>
            <w:r>
              <w:rPr>
                <w:rFonts w:hint="eastAsia" w:ascii="方正仿宋_GBK" w:eastAsia="方正仿宋_GBK"/>
                <w:sz w:val="24"/>
                <w:szCs w:val="24"/>
              </w:rPr>
              <w:t>内部销售代码</w:t>
            </w:r>
          </w:p>
        </w:tc>
        <w:tc>
          <w:tcPr>
            <w:tcW w:w="6771" w:type="dxa"/>
            <w:gridSpan w:val="3"/>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_GBK" w:eastAsia="方正仿宋_GBK"/>
                <w:sz w:val="24"/>
                <w:szCs w:val="24"/>
              </w:rPr>
            </w:pPr>
          </w:p>
        </w:tc>
        <w:tc>
          <w:tcPr>
            <w:tcW w:w="2705"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030"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03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Z10016</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4,220,926,834.48</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0.9963</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1.2333</w:t>
            </w:r>
          </w:p>
        </w:tc>
      </w:tr>
    </w:tbl>
    <w:p>
      <w:pPr>
        <w:pStyle w:val="10"/>
        <w:spacing w:before="240" w:after="72" w:line="360" w:lineRule="auto"/>
        <w:ind w:left="0"/>
        <w:rPr>
          <w:color w:val="000000"/>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2.2 产品业绩比较基准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2.2.1本报告期产品业绩比较基准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4571"/>
        <w:gridCol w:w="2009"/>
        <w:gridCol w:w="2322"/>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571"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阶段</w:t>
            </w:r>
          </w:p>
        </w:tc>
        <w:tc>
          <w:tcPr>
            <w:tcW w:w="2009"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2322"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业绩比较基准</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571"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2009"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Z10016</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r>
        <w:rPr>
          <w:rFonts w:hint="eastAsia" w:ascii="方正仿宋_GBK" w:eastAsia="方正仿宋_GBK"/>
          <w:b/>
          <w:sz w:val="24"/>
          <w:szCs w:val="24"/>
        </w:rPr>
        <w:tab/>
      </w:r>
    </w:p>
    <w:p>
      <w:pPr>
        <w:spacing w:before="240" w:after="72" w:line="360" w:lineRule="auto"/>
        <w:ind w:firstLine="420"/>
        <w:rPr>
          <w:rFonts w:hint="eastAsia" w:ascii="方正仿宋_GBK" w:eastAsia="方正仿宋_GBK"/>
          <w:sz w:val="24"/>
          <w:szCs w:val="24"/>
        </w:rPr>
      </w:pPr>
      <w:r>
        <w:rPr>
          <w:rFonts w:hint="eastAsia" w:ascii="方正仿宋_GBK" w:eastAsia="方正仿宋_GBK"/>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疫情管控放松叠加地产政策调整，市场对经济基本面的强预期压倒弱现实，债市随之出现快速调整。而在低利率环境下，市场的快速调整引发了机构踩踏出现，债券市场负反馈随之形成。总体来看，四季度期间利率出现明显上行，至季末10年期国债收益率上行7bp至2.84%，3年期AA+信用债收益率上行75bp至3.57%。</w:t>
      </w:r>
      <w:r>
        <w:rPr>
          <w:rFonts w:hint="eastAsia" w:ascii="方正仿宋_GBK" w:eastAsia="方正仿宋_GBK"/>
          <w:sz w:val="24"/>
          <w:szCs w:val="24"/>
        </w:rPr>
        <w:br w:type="textWrapping" w:clear="all"/>
      </w:r>
      <w:r>
        <w:rPr>
          <w:rFonts w:hint="eastAsia" w:ascii="方正仿宋_GBK" w:eastAsia="方正仿宋_GBK"/>
          <w:sz w:val="24"/>
          <w:szCs w:val="24"/>
        </w:rPr>
        <w:t xml:space="preserve">    往后看，市场多空因素交织，当前依然缺乏方向性。从利多因素看，第一，为了呵护弱现实下的基本面以及为开年信贷投放做保障，预计跨年后资金面有望维持平稳偏松状态；第二，跨年后机构配置需求的自然回归，将对债券资产表现形成支撑。而利空因素则主要为年初信贷开门红、两会前政策发力等对机构做多情绪的压制。总体来看，当前认为年初债市调整风险可控，后期持续关注国内宽信用效果、外部出口压力等数据及两会前后政策层面的变化。</w:t>
      </w:r>
      <w:r>
        <w:rPr>
          <w:rFonts w:hint="eastAsia" w:ascii="方正仿宋_GBK" w:eastAsia="方正仿宋_GBK"/>
          <w:sz w:val="24"/>
          <w:szCs w:val="24"/>
        </w:rPr>
        <w:br w:type="textWrapping" w:clear="all"/>
      </w:r>
      <w:r>
        <w:rPr>
          <w:rFonts w:hint="eastAsia" w:ascii="方正仿宋_GBK" w:eastAsia="方正仿宋_GBK"/>
          <w:sz w:val="24"/>
          <w:szCs w:val="24"/>
        </w:rPr>
        <w:t xml:space="preserve">    本产品为中长期、定期开放式产品，在运作期内适时、适度采用杠杆、久期等工具获取收益增厚。在四季度期间，本产品依据市场行情于左侧调仓，提前降低杠杆、久期，力求降低市场波动所造成的冲击。往后看，债市多空博弈加剧。短期内，资金利率平稳叠加配置需求修复，预期市场将出现阶段性企稳修复；中期看，基本面已反复磨底确认，利率料将难以走出单边下行行情。当前市场整体缺乏明确方向性，后续操作上产品将以中性策略应对，保持进退空间。此外，本产品将积极关注具备较高安全边际的转债标的，以增强产品中长期业绩弹性。</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w:t>
      </w:r>
      <w:bookmarkStart w:id="0" w:name="_GoBack"/>
      <w:bookmarkEnd w:id="0"/>
      <w:r>
        <w:rPr>
          <w:rFonts w:hint="eastAsia" w:ascii="方正仿宋_GBK" w:eastAsia="方正仿宋_GBK"/>
          <w:b/>
          <w:sz w:val="24"/>
          <w:szCs w:val="24"/>
        </w:rPr>
        <w:t>性风险分析</w:t>
      </w:r>
    </w:p>
    <w:p>
      <w:pPr>
        <w:spacing w:before="240" w:after="72" w:line="360" w:lineRule="auto"/>
        <w:rPr>
          <w:rFonts w:ascii="方正仿宋_GBK" w:eastAsia="方正仿宋_GBK"/>
          <w:sz w:val="24"/>
          <w:szCs w:val="24"/>
        </w:rPr>
      </w:pPr>
      <w:r>
        <w:rPr>
          <w:rFonts w:ascii="方正仿宋_GBK" w:eastAsia="方正仿宋_GBK"/>
          <w:sz w:val="24"/>
          <w:szCs w:val="24"/>
        </w:rPr>
        <w:t>    本产品持仓中维持合理比例高流动性资产，杠杆处于合理水平，流动性状况较好。</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截至报告期末，本产品份额净值为0.9963元。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22881019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22常州城建06</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329,255,787.99</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7.80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22881300</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22泰州鑫泰01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259,381,980.96</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6.15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ZJQTT202103220021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南方基金恒远尊享1号集合资产管理计划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240,187,169.40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5.69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22088971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22泰州城建10</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199,664,094.52</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4.73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22088982</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22溧水经开03</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129,787,710.65</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3.07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TYJKX202207260002</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同业借款（邦银金租）20220728-02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99,847,544.80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2.37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TYJKX202207280002</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同业借款（渝农商金租）20220729</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99,833,251.02</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2.37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22088967</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22镇江城建05</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99,829,078.90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2.37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22088973</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22启东国资02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99,822,679.79</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2.36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032100797</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21安吉两山PPN001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80,482,560.00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101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泰州市城市建设投资集团有限公司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22泰州城建10</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208</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徽银金融租赁有限公司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同业借款（徽银金租）20220728-02</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209</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邦银金融租赁股份有限公司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同业借款（邦银金租）20220728-02</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209</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常州市城市建设(集团)有限公司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22常州城建06</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215</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镇江城市建设产业集团有限公司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22镇江城建05</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209</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南京溧水经济技术开发集团有限公司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22溧水经开03</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209</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渝农商金融租赁有限责任公司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同业借款（渝农商金租）20220729</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209</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泰州鑫泰集团有限公司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22泰州鑫泰01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215</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启东国有资产投资控股有限公司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22启东国资02</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210</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56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56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0120050000000062000001</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珠联璧合行稳系列理财产品</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产品投资于关联方承销的证券交易金额260,000,000.00元。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产品与关联方作为交易对手开展的投融资业务交易金额170,495,692.05元。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产品应支付关联方托管费213,557.76元，应支付关联方代销费2,149,436.48元。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044BE"/>
    <w:rsid w:val="000121D1"/>
    <w:rsid w:val="00012CAC"/>
    <w:rsid w:val="000203D8"/>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D038A1"/>
    <w:rsid w:val="00D35825"/>
    <w:rsid w:val="00D36374"/>
    <w:rsid w:val="00D45351"/>
    <w:rsid w:val="00D83890"/>
    <w:rsid w:val="00D95925"/>
    <w:rsid w:val="00DB25C1"/>
    <w:rsid w:val="00DB5077"/>
    <w:rsid w:val="00DD60D3"/>
    <w:rsid w:val="00DE5E66"/>
    <w:rsid w:val="00DE6F49"/>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ABC0CB8"/>
    <w:rsid w:val="6B00012E"/>
    <w:rsid w:val="70287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30" w:afterLines="30"/>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180754A2.dotm</Template>
  <Company>cc</Company>
  <Pages>8</Pages>
  <Words>2859</Words>
  <Characters>3513</Characters>
  <Lines>16</Lines>
  <Paragraphs>4</Paragraphs>
  <TotalTime>23</TotalTime>
  <ScaleCrop>false</ScaleCrop>
  <LinksUpToDate>false</LinksUpToDate>
  <CharactersWithSpaces>3563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2022-07-23T09:20:00Z</dcterms:created>
  <dc:creator>演示人</dc:creator>
  <cp:lastModifiedBy>笨</cp:lastModifiedBy>
  <dcterms:modified xsi:type="dcterms:W3CDTF">2023-01-16T08:29:29Z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DA7D07A671F94F61B430BF557E8AE20F</vt:lpwstr>
  </property>
</Properties>
</file>