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南银理财珠联璧合行稳半年定开9M公募人民币理财产品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南银理财珠联璧合行稳半年定开9M公募人民币理财产品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Z7003221000033（投资者可依据该编码在中国理财网www.chinawealth.com.cn查询理财产品相关信息）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2018年09月13日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5,045,393,374.12份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江苏省国际信托有限责任公司、鑫元基金管理有限公司、太平洋资产管理有限责任公司、景顺长城基金管理有限公司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Z10018</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5,006,315,927.40</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0.9922</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1.2140</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586"/>
        <w:gridCol w:w="1994"/>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8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94"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86"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94"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Z10018</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疫情管控放松叠加地产政策调整，市场对经济基本面的强预期压倒弱现实，债市随之出现快速调整。而在低利率环境下，市场的快速调整引发了机构踩踏出现，债券市场负反馈随之形成。总体来看，四季度期间利率出现明显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当前依然缺乏方向性。从利多因素看，第一，为了呵护弱现实下的基本面以及为开年信贷投放做保障，预计跨年后资金面有望维持平稳偏松状态；第二，跨年后机构配置需求的自然回归，将对债券资产表现形成支撑。而利空因素则主要为年初信贷开门红、两会前政策发力等对机构做多情绪的压制。总体来看，当前认为年初债市调整风险可控，后期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中长期、定期开放式产品，在运作期内适时、适度采用杠杆、久期等工具获取收益增厚。在四季度期间，本产品依据市场行情于左侧调仓，提前降低杠杆、久期，力求降低市场波动所造成的冲击。往后看，债市多空博弈加剧。短期内，资金利率平稳叠加配置需求修复，预期市场将出现阶段性企稳修复；中期看，基本面已反复磨底确认，利率料将难以走出单边下行行</w:t>
      </w:r>
      <w:bookmarkStart w:id="0" w:name="_GoBack"/>
      <w:bookmarkEnd w:id="0"/>
      <w:r>
        <w:rPr>
          <w:rFonts w:hint="eastAsia" w:ascii="方正仿宋_GBK" w:eastAsia="方正仿宋_GBK"/>
          <w:sz w:val="24"/>
          <w:szCs w:val="24"/>
        </w:rPr>
        <w:t>情。当前市场整体缺乏明确方向性，后续操作上产品将以中性策略应对，保持进退空间。</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截至报告期末，本产品份额净值为0.9922元。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TYJKX202208290001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同业借款（民生金租）20220916</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399,687,500.28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7.98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ZJQTT202207200001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江苏信托鑫盈1号集合资金信托计划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257,552,092.54</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5.14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ZJQTT202203100001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鑫元基金-鑫安利得62号集合资产管理计划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200,461,207.18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22881471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22浦口经开04</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200,003,725.78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TYJKX202209160002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同业借款（民生金租）20220919</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199,850,747.26</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3.99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TYJKX202209210002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同业借款（青银金租）20220927</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99,927,323.11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ZJQTT202112280001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景顺长城南景悦享1号集合资产管理计划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98,181,643.26</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ZJQTT202210120022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太平洋卓越全利纯债产品</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97,513,661.20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ZJQTT202210120001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太平洋卓越财富一号（信用债投资型）</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96,841,848.05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162721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19新昌02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81,674,480.00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邦银金融租赁股份有限公司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同业借款（邦银金租）20221110</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72</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民生金融租赁股份有限公司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同业借款（民生金租）20220919</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南京浦口经济开发有限公司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22浦口经开04</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青岛青银金融租赁有限公司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同业借款（青银金租）20220927</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民生金融租赁股份有限公司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同业借款（民生金租）20220916</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0120010000000139</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珠联璧合行稳半年定期开放净值型人民币理财产品9M</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产品投资于关联方承销的证券交易金额412,984,082.19元。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产品与关联方作为交易对手开展的投融资业务交易金额224,772,554.80元。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产品投资关联方作为管理人的资产管理产品交易金额200,000,000.00元。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产品应支付关联方托管费254,343.20元，应支付关联方代销费2,476,235.20元。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123DD8"/>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8</Pages>
  <Words>2720</Words>
  <Characters>3390</Characters>
  <Lines>16</Lines>
  <Paragraphs>4</Paragraphs>
  <TotalTime>23</TotalTime>
  <ScaleCrop>false</ScaleCrop>
  <LinksUpToDate>false</LinksUpToDate>
  <CharactersWithSpaces>3440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2023-01-16T08:29:52Z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