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南银理财珠联璧合行稳一年定开10M公募人民币理财产品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南银理财珠联璧合行稳一年定开10M公募人民币理财产品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Z7003221000036（投资者可依据该编码在中国理财网www.chinawealth.com.cn查询理财产品相关信息）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2018年11月02日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4,564,194,548.37份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南方基金管理股份有限公司、太平洋资产管理有限责任公司、中融基金管理有限公司、招商基金管理有限公司、万家基金管理有限公司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Z10019</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4,513,545,435.52</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0.9889</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1.2167</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Z10019</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bookmarkStart w:id="0" w:name="_GoBack"/>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当前市场整体缺乏明确方向性，后续操作上产品将以中性策略应对，保持进退空间。此外，本产品将积极关注具备较高安全边际的转债标的，以增强产品中长期业绩弹性。</w:t>
      </w:r>
      <w:bookmarkEnd w:id="0"/>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截至报告期末，本产品份额净值为0.9889元。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22881468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22伟驰控股12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300,034,555.77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6.65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22881530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22柯桥建设07</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299,933,995.50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6.65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ZJQTT202210120022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太平洋卓越全利纯债产品</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292,221,615.72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6.47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287,257,554.88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6.36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22881429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22邗江城建01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180,061,508.83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22881480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22望涛投资01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149,925,773.79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22881449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22淮安新城12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100,008,035.22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22881459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22金东城投01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100,006,201.97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22881483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22镇江交通09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99,912,046.03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032101092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21邗江城建PPN002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99,120,700.00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扬州市邗江城市建设发展有限公司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22邗江城建01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绍兴市柯桥区建设集团有限公司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22柯桥建设07</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镇江交通产业集团有限公司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22镇江交通09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淮安新城投资开发有限公司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22淮安新城14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泰州市金东城市建设投资集团有限公司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22金东城投01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321</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泰州东方中国医药城控股集团有限公司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22东方医药04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淮安新城投资开发有限公司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22淮安新城12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伟驰控股集团有限公司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22伟驰控股12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江苏望涛投资建设有限公司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22望涛投资01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0120030000000181</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南京银行行稳一年定开10M</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产品投资于关联方承销的证券交易金额1,458,539,441.87元。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产品与关联方作为交易对手开展的投融资业务交易金额209,775,369.86元。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产品应支付关联方托管费200,743.86元，应支付关联方代销费2,001,107.43元。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4CEC654D"/>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2886</Words>
  <Characters>3498</Characters>
  <Lines>16</Lines>
  <Paragraphs>4</Paragraphs>
  <TotalTime>23</TotalTime>
  <ScaleCrop>false</ScaleCrop>
  <LinksUpToDate>false</LinksUpToDate>
  <CharactersWithSpaces>3548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2023-01-16T08:32:37Z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