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南银理财珠联璧合行稳1906一年定开公募人民币理财产品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南银理财珠联璧合行稳1906一年定开公募人民币理财产品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Z7003221000031（投资者可依据该编码在中国理财网www.chinawealth.com.cn查询理财产品相关信息）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2019年06月26日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3,526,909,750.70份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南方基金管理股份有限公司、景顺长城基金管理有限公司、鹏华基金管理有限公司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Z10026</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3,529,500,896.61</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1.0007</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1.1685</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71"/>
        <w:gridCol w:w="200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200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7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200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Z10026</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当前市场整体缺乏明确方向性，后续操作上产品将以中性策略应对，保持进退空间。此</w:t>
      </w:r>
      <w:bookmarkStart w:id="0" w:name="_GoBack"/>
      <w:bookmarkEnd w:id="0"/>
      <w:r>
        <w:rPr>
          <w:rFonts w:hint="eastAsia" w:ascii="方正仿宋_GBK" w:eastAsia="方正仿宋_GBK"/>
          <w:sz w:val="24"/>
          <w:szCs w:val="24"/>
        </w:rPr>
        <w:t>外，本产品将积极关注具备较高安全边际的转债标的，以增强产品中长期业绩弹性。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截至报告期末，本产品份额净值为1.0007元。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22088925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22溧水经开01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249,552,582.38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7.07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TYJKX202207110002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同业借款（九鼎金租）20220712-2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199,763,871.78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ZJQTT202112280001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景顺长城南景悦享1号集合资产管理计划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199,219,131.28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5.64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032100123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21建安投资PPN001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150,632,700.00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4.27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22088969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22南京滨江09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100,008,494.91</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22881470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22浦口经开03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99,985,982.02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22088909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22镇江城建04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99,861,405.25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TYJKX202207210059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同业借款（苏宁消金）20220722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99,848,588.59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TYJKX202207260003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同业借款（邦银金租）20220728-03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99,840,720.78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22088935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22江宁城建05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99,830,584.34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南银法巴消费金融有限公司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同业借款（苏宁消金）20220722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兴业消费金融股份公司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同业借款（兴业消金）20220721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南京滨江投资发展有限公司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22南京滨江09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南京浦口经济开发有限公司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22浦口经开03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镇江城市建设产业集团有限公司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22镇江城建04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193</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邦银金融租赁股份有限公司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同业借款（邦银金租）20220728-03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193</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河南九鼎金融租赁股份有限公司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同业借款（九鼎金租）20220712-2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南京江宁城市建设集团有限公司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22江宁城建05</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南京溧水经济技术开发集团有限公司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22溧水经开01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0120070000000301</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南京银行行稳1906一年定开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产品投资于关联方承销的证券交易金额100,000,000.00元。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产品与关联方作为交易对手开展的投融资业务交易金额156,541,509.58元。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产品应支付关联方托管费177,794.60元，应支付关联方代销费1,793,241.46元。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6C3421A6"/>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2872</Words>
  <Characters>3546</Characters>
  <Lines>16</Lines>
  <Paragraphs>4</Paragraphs>
  <TotalTime>23</TotalTime>
  <ScaleCrop>false</ScaleCrop>
  <LinksUpToDate>false</LinksUpToDate>
  <CharactersWithSpaces>3596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2023-01-16T08:41:42Z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