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南银理财珠联璧合安稳1908一年定开公募人民币理财产品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南银理财珠联璧合安稳1908一年定开公募人民币理财产品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Z7003221000023（投资者可依据该编码在中国理财网www.chinawealth.com.cn查询理财产品相关信息）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2019年08月15日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3,096,380,935.00份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南方基金管理股份有限公司、鑫元基金管理有限公司、万家基金管理有限公司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Z30004</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3,096,227,161.81</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0.9999</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1.1438</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193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4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3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4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3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Z30004</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本产品为中长期、定期开放式产品，在运作期内积极采用杠杆、久期等工具获取收益增厚。在四季度期间，本产品依据市场行情积极调仓，适时使用杠杆、久期工具，力求为客户获取业绩增</w:t>
      </w:r>
      <w:bookmarkStart w:id="0" w:name="_GoBack"/>
      <w:bookmarkEnd w:id="0"/>
      <w:r>
        <w:rPr>
          <w:rFonts w:hint="eastAsia" w:ascii="方正仿宋_GBK" w:eastAsia="方正仿宋_GBK"/>
          <w:sz w:val="24"/>
          <w:szCs w:val="24"/>
        </w:rPr>
        <w:t>厚。往后看，债市多空博弈加剧，整体缺乏方向性。后续操作上产品将以中性策略应对震荡行情，保持进退空间，静待政策及市场逐步明朗。</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截至报告期末，本产品份额净值为0.9999元。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22881093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22镜湖开发06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299,302,449.21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TYJKX202208260001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同业借款（南银法巴消金）20220902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299,127,166.53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22881076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22钟楼新城03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199,475,325.70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6.44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22881300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22泰州鑫泰01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169,595,910.63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22881169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22六合交通01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159,576,353.50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5.15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22881136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22汤山建投01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129,624,246.77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4.19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ZJQTT202203100001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鑫元基金-鑫安利得62号集合资产管理计划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99,989,998.00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99,767,887.02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012284304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22瀚瑞投资SCP008</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99,551,500.00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22881120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22常州城建08</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79,780,712.22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南京汤山建设投资发展有限公司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22汤山建投01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南银法巴消费金融有限公司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同业借款（南银法巴消金）20220902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常州市城市建设(集团)有限公司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22常州城建09</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常州市城市建设(集团)有限公司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22常州城建08</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泰州鑫泰集团有限公司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22泰州鑫泰01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南银法巴消费金融有限公司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同业借款（苏宁消金）20220819-02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绍兴市镜湖开发集团有限公司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22镜湖开发06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常州钟楼新城投资建设有限公司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22钟楼新城03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南京六合交通工程建设投资(集团)有限公司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22六合交通01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江苏武进经济发展集团有限公司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22武进经发02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237</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0120040000000312</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南京银行安稳1908一年定开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产品投资于关联方承销的证券交易金额360,088,821.92元。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产品与关联方作为交易对手开展的投融资业务交易金额122,933,706.85元。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产品投资关联方作为管理人的资产管理产品交易金额100,000,000.00元。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产品应支付关联方托管费156,091.80元，应支付关联方代销费1,559,905.08元。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A010B70"/>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8</Pages>
  <Words>2783</Words>
  <Characters>3430</Characters>
  <Lines>16</Lines>
  <Paragraphs>4</Paragraphs>
  <TotalTime>23</TotalTime>
  <ScaleCrop>false</ScaleCrop>
  <LinksUpToDate>false</LinksUpToDate>
  <CharactersWithSpaces>3480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2023-01-16T08:42:08Z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