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南银理财珠联璧合致远1909一年定开公募人民币理财产品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南银理财珠联璧合致远1909一年定开公募人民币理财产品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2019年09月19日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763,042,866.00份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工银瑞信基金管理有限公司、中银基金管理有限公司、中庚基金管理有限公司、海富通基金管理有限公司、上投摩根基金管理有限公司、华泰柏瑞基金管理有限公司、万家基金管理有限公司、华宝基金管理有限公司、南方基金管理股份有限公司、招商基金管理有限公司、富国基金管理有限公司、交银施罗德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753,156,236.94</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0.9870</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1.1259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w:t>
      </w:r>
      <w:bookmarkStart w:id="0" w:name="_GoBack"/>
      <w:bookmarkEnd w:id="0"/>
      <w:r>
        <w:rPr>
          <w:rFonts w:hint="eastAsia" w:ascii="方正仿宋_GBK" w:eastAsia="方正仿宋_GBK"/>
          <w:sz w:val="24"/>
          <w:szCs w:val="24"/>
        </w:rPr>
        <w:t>值，而过去一年压制股票市场的负面因素都出现了缓解。本产品将以更为积极的态度介入权益市场，把握经济复苏+流动性宽松这一有利宏观组合下的投资机会。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截至报告期末，本产品份额净值为0.9870元。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91.15%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3.87%</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4.98%</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22881284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22金坛投资07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99,721,227.62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177182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G20安吉2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30,273,360.00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101901379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19连云城建MTN002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30,159,510.00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197157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21泰华04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30,099,150.00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102280703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22国药租赁MTN003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30,089,430.00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102101959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21淮安新城MTN002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29,888,790.00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185979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22安建Y1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29,742,420.00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032000799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20津南城投PPN002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29,346,690.00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2020095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20兰州银行永续债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29,136,540.00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2128016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21民生银行永续债01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28,339,680.00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江苏金坛投资控股有限公司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22金坛投资07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0120020000000327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南京银行致远1909一年定开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产品与关联方作为交易对手开展的投融资业务交易金额20,223,950.68元。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产品应支付关联方托管费38,466.12元，应支付关联方代销费578,401.00元。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94A6F90"/>
    <w:rsid w:val="0CC420DD"/>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2565</Words>
  <Characters>3143</Characters>
  <Lines>16</Lines>
  <Paragraphs>4</Paragraphs>
  <TotalTime>23</TotalTime>
  <ScaleCrop>false</ScaleCrop>
  <LinksUpToDate>false</LinksUpToDate>
  <CharactersWithSpaces>3193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2023-01-16T08:43:45Z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