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南银理财珠联璧合日日聚鑫现金管理类公募人民币理财产品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南银理财珠联璧合日日聚鑫现金管理类公募人民币理财产品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2019年09月11日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24,557,773,252.55份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A20001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23,097,236,464.24</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A21001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1,460,536,788.31</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358"/>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理财赎回负反馈放大了市场波动，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信贷开门红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操作方面，产品延续了稳健的投资风格，持续提高利率债、存单和活期存款等高流动性资产配置，持仓结构进一步向新规靠拢，年底前全部达标，并通过适当杠杆增厚产品收益。未来拟</w:t>
      </w:r>
      <w:bookmarkStart w:id="0" w:name="_GoBack"/>
      <w:bookmarkEnd w:id="0"/>
      <w:r>
        <w:rPr>
          <w:rFonts w:hint="eastAsia" w:ascii="方正仿宋_GBK" w:eastAsia="方正仿宋_GBK" w:hAnsiTheme="minorHAnsi" w:cstheme="minorBidi"/>
          <w:sz w:val="24"/>
          <w:szCs w:val="24"/>
        </w:rPr>
        <w:t>继续坚持流动性，兼顾收益性的目标进行操作，保证流动性安全、信用风险可控的基础上为客户提供稳定的收益回报。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短期内货币政策保驾护航作用不变，关注潜在通胀和美联储加息对国内货币政策的软约束。本产品将主动控制久期，适当使用杠杆，关注节点资金波动情况，做好流动性预判和资产的到期分布安排，防范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截至报告期末，本产品A20001份额净值为1.0000元，A21001份额净值为1.0000元。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DQCKX202204010021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同业存款中国银行江苏省分行20220401（可提支）</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112204019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22中国银行CD019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993,245,004.90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210312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21进出12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641,018,785.02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112206113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22交通银行CD113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595,879,777.94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DQCKX202204060001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同业存款江苏银行20220406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DQCKX202211140001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中原银行定期存款20221115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DQCKX202204110002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同业存款江苏银行20220411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DQCKX202211070002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徽商银行定期存款6M20221107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DQCKX202210310001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中国银行同业存款20221031（001）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112208034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22中信银行CD034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497,908,320.67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0120000000000328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南京银行日日聚鑫</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产品投资于关联方承销的证券交易金额100,415,931.51元。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产品与关联方作为交易对手开展的投融资业务交易金额1,204,482,109.59元。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产品应支付关联方托管费1,266,546.84元，应支付关联方代销费3,238,854.02元。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4050FE2"/>
    <w:rsid w:val="1F1A3BC0"/>
    <w:rsid w:val="2651710C"/>
    <w:rsid w:val="26FE003E"/>
    <w:rsid w:val="27665A0B"/>
    <w:rsid w:val="2A954B29"/>
    <w:rsid w:val="2C5F4270"/>
    <w:rsid w:val="341F714B"/>
    <w:rsid w:val="36160F00"/>
    <w:rsid w:val="38A24CCD"/>
    <w:rsid w:val="57DD4EC8"/>
    <w:rsid w:val="59E051FD"/>
    <w:rsid w:val="611546EB"/>
    <w:rsid w:val="71656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1770</Words>
  <Characters>2430</Characters>
  <Lines>14</Lines>
  <Paragraphs>4</Paragraphs>
  <TotalTime>36</TotalTime>
  <ScaleCrop>false</ScaleCrop>
  <LinksUpToDate>false</LinksUpToDate>
  <CharactersWithSpaces>2459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2023-01-13T11:21:21Z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D38F3786A6644A91B774AD63999CA542</vt:lpwstr>
  </property>
</Properties>
</file>