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南银理财珠联璧合财富牛4号开放式公募人民币理财产品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南银理财珠联璧合财富牛4号开放式公募人民币理财产品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Z7003220000014（投资者可依据该编码在中国理财网www.chinawealth.com.cn查询理财产品相关信息）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2020年09月16日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1,714,863,886.68份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中信期货有限公司、安信基金管理有限责任公司、天弘基金管理有限公司、富国基金管理有限公司、华夏基金管理有限公司、南方基金管理股份有限公司、华宝基金管理有限公司、万家基金管理有限公司、鑫元基金管理有限公司、兴证全球基金管理有限公司、中欧基金管理有限公司、交银施罗德基金管理有限公司、广发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Z70001</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1,422,042,057.71</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1.0756</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1.0756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Z70002</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422,818,876.30</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1.0762</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1.0762</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16"/>
        <w:gridCol w:w="196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1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6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1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6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Z70001</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1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6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Z70002</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债券方面，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权益方面，2022年压制权益市场的负面因素较多，国内由于疫情防控、房地产调控导致经济衰退，国外通胀高企后流动性超预期收紧，叠加海外地缘冲突等黑天鹅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新半军为代表的赛道成长板块股价受制于持仓拥挤和交易博弈的现象较为普遍，反观煤炭、石油为代表的老能源同时受益于基本面和估值的修复，其他与经济周期相关的下游消费、中游制造在经济下行阶段也难以有明显的超额。权益部分全年仓位偏防守，其中对于基金重仓的消费、新能源板块阶段性规避，对煤炭为代表的周期以及医药、信创等板块择机超配，是全年超额收益的主要来源。四季度特别是11月以来，我们看到疫情防控、房地产调控政策出现了明显的转向，说明国家安全和经济发展是一体两面而非左右互搏，叠加货币、财政政策可以预期的适度放松，而海外的通胀在高位徘徊后出现环比回落，加息收紧的节奏也开始趋缓，整年压制权益市场的负面因素几乎都出现了缓解，同时目前股市估值对应的股债性价比依然处于过去十年80%以上分位数，权益资产具备中长期配置的优势，产品将维持更为积极的权益仓位，以应对经济复苏、流动性宽松的有利宏观组合。</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本产品配置较高比例的国债和政策性金融债等高流动性资产,整体流动性风险可控。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截至报告期末，本产品Z70001份额净值为1.0756元，Z70002份额净值为1.0762元。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91.76%</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92.86%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lang w:val="en-US" w:eastAsia="zh-CN"/>
              </w:rPr>
              <w:t>2.15</w:t>
            </w:r>
            <w:r>
              <w:rPr>
                <w:rFonts w:hint="eastAsia" w:ascii="方正仿宋_GBK" w:hAnsi="仿宋_GB2312" w:eastAsia="方正仿宋_GBK" w:cs="仿宋_GB2312"/>
                <w:sz w:val="24"/>
                <w:szCs w:val="24"/>
              </w:rPr>
              <w:t>%</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lang w:val="en-US" w:eastAsia="zh-CN"/>
              </w:rPr>
              <w:t>3.94</w:t>
            </w:r>
            <w:r>
              <w:rPr>
                <w:rFonts w:hint="eastAsia" w:ascii="方正仿宋_GBK" w:hAnsi="仿宋_GB2312" w:eastAsia="方正仿宋_GBK" w:cs="仿宋_GB2312"/>
                <w:sz w:val="24"/>
                <w:szCs w:val="24"/>
              </w:rPr>
              <w:t>%</w:t>
            </w:r>
            <w:bookmarkStart w:id="0" w:name="_GoBack"/>
            <w:bookmarkEnd w:id="0"/>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lang w:val="en-US" w:eastAsia="zh-CN"/>
              </w:rPr>
              <w:t>6.09</w:t>
            </w:r>
            <w:r>
              <w:rPr>
                <w:rFonts w:hint="eastAsia" w:ascii="方正仿宋_GBK" w:hAnsi="仿宋_GB2312" w:eastAsia="方正仿宋_GBK" w:cs="仿宋_GB2312"/>
                <w:sz w:val="24"/>
                <w:szCs w:val="24"/>
              </w:rPr>
              <w:t>%</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lang w:val="en-US" w:eastAsia="zh-CN"/>
              </w:rPr>
              <w:t>3.02</w:t>
            </w:r>
            <w:r>
              <w:rPr>
                <w:rFonts w:hint="eastAsia" w:ascii="方正仿宋_GBK" w:hAnsi="仿宋_GB2312" w:eastAsia="方正仿宋_GBK" w:cs="仿宋_GB2312"/>
                <w:sz w:val="24"/>
                <w:szCs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220301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22进出01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100,023,600.00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5.42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220206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22国开06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79,940,400.00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032191151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21德清交通PPN002(碳中和债)</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39,499,160.00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2020095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20兰州银行永续债</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38,848,720.00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102103327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21苏海投资MTN001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30,352,170.00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032191189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21创鸿资产PPN001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30,177,150.00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102100281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21鑫泰MTN001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30,117,810.00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102280087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22海兴MTN001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30,111,420.00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102103277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21润企投资MTN002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29,817,540.00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032280039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22栖霞山PPN001(项目收益)</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29,463,240.00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0120070000000438</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南京银行财富牛4号</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产品与关联方作为交易对手开展的投融资业务交易金额103,988,941.36元。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产品应支付关联方托管费221,947.77元，应支付关联方代销费2,219,477.84元。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34740D1"/>
    <w:rsid w:val="59E74023"/>
    <w:rsid w:val="5EAA0A88"/>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2324</Words>
  <Characters>2946</Characters>
  <Lines>16</Lines>
  <Paragraphs>4</Paragraphs>
  <TotalTime>30</TotalTime>
  <ScaleCrop>false</ScaleCrop>
  <LinksUpToDate>false</LinksUpToDate>
  <CharactersWithSpaces>2982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2023-01-17T01:29:55Z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