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南银理财珠联璧合致远平衡2009两年定开公募人民币理财产品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南银理财珠联璧合致远平衡2009两年定开公募人民币理财产品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Z7003221000043（投资者可依据该编码在中国理财网www.chinawealth.com.cn查询理财产品相关信息）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2020年09月24日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22,402,793.55份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中信期货有限公司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Z90001</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23,525,279.84</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1.0501</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1.0501</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从债券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四季度权益市场整体呈现出先上后下的震荡走势，特别是11月以来，我们看到疫情防控、房地产调控政策出现了明显的转向，说明国家安全和经济发展是一体两面而非左右互搏，而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将维持更为积极的权益仓位，以应对经济复苏、流动性宽松的有利宏观组合。</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新一期致远平衡2009按照50%固收 + 40% 中证500量化指数增强的方式运行。从2022年四季度以来，本产品自研的量化指增部分超额收益保持稳定，同期无论是和私募还是公募机构相比，都具有较高的市场竞争力。</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结合权益市场的</w:t>
      </w:r>
      <w:bookmarkStart w:id="0" w:name="_GoBack"/>
      <w:bookmarkEnd w:id="0"/>
      <w:r>
        <w:rPr>
          <w:rFonts w:hint="eastAsia" w:ascii="方正仿宋_GBK" w:eastAsia="方正仿宋_GBK" w:hAnsiTheme="minorHAnsi" w:cstheme="minorBidi"/>
          <w:sz w:val="24"/>
          <w:szCs w:val="24"/>
        </w:rPr>
        <w:t>低估值水平带来较高的安全边际，以及指数增强部分超额收益的高胜率、高稳定性的特点，后期将维持 500指数增强策略的积极配置力度。</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产品持仓中维持合理比例高流动性资产，提前做好关键时点资金储备，流动性状况较好。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截至报告期末，本产品份额净值为1.0501元。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61.07%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70.90%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29.10%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38.93%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22881255</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22盐城城建17</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9,971,955.68</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42.39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HHQTT202201100001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中信期货宁宽1号集合资产管理计划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9,167,542.71</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38.97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盐城市城市建设投资集团有限公司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22盐城城建17</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638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0120070000000443</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南京银行致远平衡2009两年定开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产品应支付关联方托管费1,188.49元，应支付关联方代销费11,885.12元。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 w:val="6BF53D0C"/>
    <w:rsid w:val="77D23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1627</Words>
  <Characters>1939</Characters>
  <Lines>14</Lines>
  <Paragraphs>4</Paragraphs>
  <TotalTime>0</TotalTime>
  <ScaleCrop>false</ScaleCrop>
  <LinksUpToDate>false</LinksUpToDate>
  <CharactersWithSpaces>1980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2023-01-13T10:24:35Z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