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优稳日申月赎公</w:t>
      </w:r>
      <w:proofErr w:type="gramEnd"/>
      <w:r>
        <w:rPr>
          <w:rFonts w:ascii="方正黑体_GBK" w:eastAsia="方正黑体_GBK" w:hint="eastAsia"/>
          <w:sz w:val="36"/>
          <w:szCs w:val="36"/>
        </w:rPr>
        <w:t>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优稳日申月赎公</w:t>
            </w:r>
            <w:proofErr w:type="gramEnd"/>
            <w:r>
              <w:rPr>
                <w:rFonts w:ascii="方正仿宋_GBK" w:eastAsia="方正仿宋_GBK" w:hAnsi="仿宋_GB2312" w:cs="仿宋_GB2312" w:hint="eastAsia"/>
                <w:sz w:val="24"/>
                <w:szCs w:val="24"/>
              </w:rPr>
              <w:t>募人民币理财产品</w:t>
            </w:r>
          </w:p>
        </w:tc>
      </w:tr>
      <w:tr w:rsidR="00B31DA4" w:rsidTr="00073049">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Z7003220000016（投资者可依据该编码在中国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2020年10月22日</w:t>
            </w:r>
          </w:p>
        </w:tc>
      </w:tr>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6,091,673,815.08份</w:t>
            </w:r>
          </w:p>
        </w:tc>
      </w:tr>
      <w:tr w:rsidR="00B31DA4" w:rsidTr="00073049">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07304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66227">
        <w:trPr>
          <w:trHeight w:val="565"/>
          <w:jc w:val="center"/>
        </w:trPr>
        <w:tc>
          <w:tcPr>
            <w:tcW w:w="1838"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Z60002</w:t>
            </w:r>
          </w:p>
        </w:tc>
        <w:tc>
          <w:tcPr>
            <w:tcW w:w="2693"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4,765,171,189.23</w:t>
            </w:r>
          </w:p>
        </w:tc>
        <w:tc>
          <w:tcPr>
            <w:tcW w:w="2410"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1.0848</w:t>
            </w:r>
          </w:p>
        </w:tc>
        <w:tc>
          <w:tcPr>
            <w:tcW w:w="2126"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1.0848</w:t>
            </w:r>
          </w:p>
        </w:tc>
      </w:tr>
      <w:tr w:rsidR="00F66227">
        <w:trPr>
          <w:trHeight w:val="565"/>
          <w:jc w:val="center"/>
        </w:trPr>
        <w:tc>
          <w:tcPr>
            <w:tcW w:w="1838"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Z61002</w:t>
            </w:r>
          </w:p>
        </w:tc>
        <w:tc>
          <w:tcPr>
            <w:tcW w:w="2693"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1,700,539,635.71</w:t>
            </w:r>
          </w:p>
        </w:tc>
        <w:tc>
          <w:tcPr>
            <w:tcW w:w="2410"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1.0008</w:t>
            </w:r>
          </w:p>
        </w:tc>
        <w:tc>
          <w:tcPr>
            <w:tcW w:w="2126"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A01E95" w:rsidRDefault="007816A9" w:rsidP="00A01E95">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往后看，市场多空因素交织，利率预计维持震荡格局。从利多因素分析来看，第一，为了呵护疫情放开感染高峰时期的基本面以及为开年信贷投放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操作方面，产品始终围绕稳健回报的收益目标进行操作，以中</w:t>
      </w:r>
      <w:proofErr w:type="gramStart"/>
      <w:r>
        <w:rPr>
          <w:rFonts w:ascii="方正仿宋_GBK" w:eastAsia="方正仿宋_GBK" w:hAnsiTheme="minorHAnsi" w:cstheme="minorBidi" w:hint="eastAsia"/>
          <w:sz w:val="24"/>
          <w:szCs w:val="24"/>
        </w:rPr>
        <w:t>短久期</w:t>
      </w:r>
      <w:proofErr w:type="gramEnd"/>
      <w:r>
        <w:rPr>
          <w:rFonts w:ascii="方正仿宋_GBK" w:eastAsia="方正仿宋_GBK" w:hAnsiTheme="minorHAnsi" w:cstheme="minorBidi" w:hint="eastAsia"/>
          <w:sz w:val="24"/>
          <w:szCs w:val="24"/>
        </w:rPr>
        <w:t>信用债、利率</w:t>
      </w:r>
      <w:r>
        <w:rPr>
          <w:rFonts w:ascii="方正仿宋_GBK" w:eastAsia="方正仿宋_GBK" w:hAnsiTheme="minorHAnsi" w:cstheme="minorBidi" w:hint="eastAsia"/>
          <w:sz w:val="24"/>
          <w:szCs w:val="24"/>
        </w:rPr>
        <w:lastRenderedPageBreak/>
        <w:t>债、存款为主要配置资产，兼顾票息与流动性。下阶段，产品将继续加强对资金面与市场情绪的</w:t>
      </w:r>
      <w:proofErr w:type="gramStart"/>
      <w:r>
        <w:rPr>
          <w:rFonts w:ascii="方正仿宋_GBK" w:eastAsia="方正仿宋_GBK" w:hAnsiTheme="minorHAnsi" w:cstheme="minorBidi" w:hint="eastAsia"/>
          <w:sz w:val="24"/>
          <w:szCs w:val="24"/>
        </w:rPr>
        <w:t>研</w:t>
      </w:r>
      <w:proofErr w:type="gramEnd"/>
      <w:r>
        <w:rPr>
          <w:rFonts w:ascii="方正仿宋_GBK" w:eastAsia="方正仿宋_GBK" w:hAnsiTheme="minorHAnsi" w:cstheme="minorBidi" w:hint="eastAsia"/>
          <w:sz w:val="24"/>
          <w:szCs w:val="24"/>
        </w:rPr>
        <w:t>判，灵活调整</w:t>
      </w:r>
      <w:proofErr w:type="gramStart"/>
      <w:r>
        <w:rPr>
          <w:rFonts w:ascii="方正仿宋_GBK" w:eastAsia="方正仿宋_GBK" w:hAnsiTheme="minorHAnsi" w:cstheme="minorBidi" w:hint="eastAsia"/>
          <w:sz w:val="24"/>
          <w:szCs w:val="24"/>
        </w:rPr>
        <w:t>产品久期与</w:t>
      </w:r>
      <w:proofErr w:type="gramEnd"/>
      <w:r>
        <w:rPr>
          <w:rFonts w:ascii="方正仿宋_GBK" w:eastAsia="方正仿宋_GBK" w:hAnsiTheme="minorHAnsi" w:cstheme="minorBidi" w:hint="eastAsia"/>
          <w:sz w:val="24"/>
          <w:szCs w:val="24"/>
        </w:rPr>
        <w:t>杠杆结构，实现产品收益的长期稳健增值。</w:t>
      </w:r>
    </w:p>
    <w:p w:rsidR="00B31DA4" w:rsidRDefault="007816A9" w:rsidP="00A01E95">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市场资金</w:t>
      </w:r>
      <w:proofErr w:type="gramStart"/>
      <w:r>
        <w:rPr>
          <w:rFonts w:ascii="方正仿宋_GBK" w:eastAsia="方正仿宋_GBK" w:hAnsiTheme="minorHAnsi" w:cstheme="minorBidi"/>
          <w:sz w:val="24"/>
          <w:szCs w:val="24"/>
        </w:rPr>
        <w:t>面合理</w:t>
      </w:r>
      <w:proofErr w:type="gramEnd"/>
      <w:r>
        <w:rPr>
          <w:rFonts w:ascii="方正仿宋_GBK" w:eastAsia="方正仿宋_GBK" w:hAnsiTheme="minorHAnsi" w:cstheme="minorBidi"/>
          <w:sz w:val="24"/>
          <w:szCs w:val="24"/>
        </w:rPr>
        <w:t>充裕，产品坚持稳健操作，维持合理的流动性水平，平稳度过各关键时点。后续将紧密跟踪、</w:t>
      </w:r>
      <w:proofErr w:type="gramStart"/>
      <w:r>
        <w:rPr>
          <w:rFonts w:ascii="方正仿宋_GBK" w:eastAsia="方正仿宋_GBK" w:hAnsiTheme="minorHAnsi" w:cstheme="minorBidi"/>
          <w:sz w:val="24"/>
          <w:szCs w:val="24"/>
        </w:rPr>
        <w:t>研</w:t>
      </w:r>
      <w:proofErr w:type="gramEnd"/>
      <w:r>
        <w:rPr>
          <w:rFonts w:ascii="方正仿宋_GBK" w:eastAsia="方正仿宋_GBK" w:hAnsiTheme="minorHAnsi" w:cstheme="minorBidi"/>
          <w:sz w:val="24"/>
          <w:szCs w:val="24"/>
        </w:rPr>
        <w:t>判市场变化，优化产品资产负债结构，设置合理的杠杆水平，防范产品流动性风险。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截至报告期末，本产品Z60002份额净值为1.0848元，Z61002份额净值为1.0008元。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lastRenderedPageBreak/>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210212</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21国开12</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150,219,300.00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2.32</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032100907</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21圆宏控股PPN002</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149,315,850.00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2.31</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194573</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22富阳D2</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100,000,000.00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1.55</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220206</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22国开06</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99,925,500.00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1.55</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194310</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22宿迁01</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80,000,000.00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1.24</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032100510</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21海</w:t>
            </w:r>
            <w:proofErr w:type="gramStart"/>
            <w:r>
              <w:rPr>
                <w:rFonts w:ascii="方正仿宋_GBK" w:eastAsia="方正仿宋_GBK" w:hAnsi="方正仿宋_GBK" w:cs="方正仿宋_GBK"/>
                <w:sz w:val="24"/>
              </w:rPr>
              <w:t>奕</w:t>
            </w:r>
            <w:proofErr w:type="gramEnd"/>
            <w:r>
              <w:rPr>
                <w:rFonts w:ascii="方正仿宋_GBK" w:eastAsia="方正仿宋_GBK" w:hAnsi="方正仿宋_GBK" w:cs="方正仿宋_GBK"/>
                <w:sz w:val="24"/>
              </w:rPr>
              <w:t>控股PPN001</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79,868,560.00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1.24</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102100473</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21南京医药MTN001</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70,408,380.00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1.09</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200407</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20农发07</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70,348,180.00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1.09</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102101336</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21浦口城乡MTN002</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70,065,450.00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w:t>
            </w:r>
          </w:p>
        </w:tc>
      </w:tr>
      <w:tr w:rsidR="00F66227">
        <w:trPr>
          <w:trHeight w:val="583"/>
          <w:jc w:val="center"/>
        </w:trPr>
        <w:tc>
          <w:tcPr>
            <w:tcW w:w="751"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w:t>
            </w:r>
          </w:p>
        </w:tc>
        <w:tc>
          <w:tcPr>
            <w:tcW w:w="1585" w:type="dxa"/>
            <w:shd w:val="clear" w:color="auto" w:fill="auto"/>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032100491</w:t>
            </w:r>
          </w:p>
        </w:tc>
        <w:tc>
          <w:tcPr>
            <w:tcW w:w="2720"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21兴川国资PPN002</w:t>
            </w:r>
          </w:p>
        </w:tc>
        <w:tc>
          <w:tcPr>
            <w:tcW w:w="2058"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69,988,170.00</w:t>
            </w:r>
          </w:p>
        </w:tc>
        <w:tc>
          <w:tcPr>
            <w:tcW w:w="1812" w:type="dxa"/>
            <w:shd w:val="clear" w:color="000000" w:fill="FFFFFF"/>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66227">
        <w:trPr>
          <w:trHeight w:val="571"/>
          <w:jc w:val="center"/>
        </w:trPr>
        <w:tc>
          <w:tcPr>
            <w:tcW w:w="877"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704"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5"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540"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383"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1"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876" w:type="dxa"/>
            <w:vAlign w:val="center"/>
          </w:tcPr>
          <w:p w:rsidR="00F66227" w:rsidRDefault="0052083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66227">
        <w:trPr>
          <w:trHeight w:val="584"/>
          <w:jc w:val="center"/>
        </w:trPr>
        <w:tc>
          <w:tcPr>
            <w:tcW w:w="846" w:type="dxa"/>
            <w:vAlign w:val="center"/>
          </w:tcPr>
          <w:p w:rsidR="00F66227" w:rsidRDefault="0052083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lastRenderedPageBreak/>
              <w:t>1</w:t>
            </w:r>
          </w:p>
        </w:tc>
        <w:tc>
          <w:tcPr>
            <w:tcW w:w="1417" w:type="dxa"/>
            <w:vAlign w:val="center"/>
          </w:tcPr>
          <w:p w:rsidR="00F66227" w:rsidRDefault="0052083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66227" w:rsidRDefault="0052083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0120020000000474</w:t>
            </w:r>
          </w:p>
        </w:tc>
        <w:tc>
          <w:tcPr>
            <w:tcW w:w="1983" w:type="dxa"/>
            <w:vAlign w:val="center"/>
          </w:tcPr>
          <w:p w:rsidR="00F66227" w:rsidRDefault="0052083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roofErr w:type="gramStart"/>
            <w:r>
              <w:rPr>
                <w:rFonts w:ascii="方正仿宋_GBK" w:eastAsia="方正仿宋_GBK" w:hAnsi="方正仿宋_GBK" w:cs="方正仿宋_GBK"/>
                <w:sz w:val="24"/>
              </w:rPr>
              <w:t>优稳日申月赎</w:t>
            </w:r>
            <w:proofErr w:type="gramEnd"/>
          </w:p>
        </w:tc>
        <w:tc>
          <w:tcPr>
            <w:tcW w:w="1988" w:type="dxa"/>
            <w:vAlign w:val="center"/>
          </w:tcPr>
          <w:p w:rsidR="00F66227" w:rsidRDefault="0052083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产品投资于关联方承销的证券交易金额100,046,986.31元。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产品与关联方作为交易对手开展的投融资业务交易金额1,292,147,304.11元。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产品投资关联方作为管理人的资产管理产品交易金额440,000,000.00元。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产品应支付关联方托管费476,449.57元，应支付关联方代销费</w:t>
      </w:r>
      <w:r w:rsidR="00735F94">
        <w:rPr>
          <w:rFonts w:ascii="方正仿宋_GBK" w:eastAsia="方正仿宋_GBK" w:hAnsiTheme="minorHAnsi" w:cstheme="minorBidi" w:hint="eastAsia"/>
          <w:sz w:val="24"/>
          <w:szCs w:val="24"/>
        </w:rPr>
        <w:t>2,419,711.55</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9A3" w:rsidRDefault="003679A3">
      <w:pPr>
        <w:spacing w:after="72"/>
      </w:pPr>
      <w:r>
        <w:separator/>
      </w:r>
    </w:p>
  </w:endnote>
  <w:endnote w:type="continuationSeparator" w:id="0">
    <w:p w:rsidR="003679A3" w:rsidRDefault="003679A3">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9A3" w:rsidRDefault="003679A3">
      <w:pPr>
        <w:spacing w:after="72"/>
      </w:pPr>
      <w:r>
        <w:separator/>
      </w:r>
    </w:p>
  </w:footnote>
  <w:footnote w:type="continuationSeparator" w:id="0">
    <w:p w:rsidR="003679A3" w:rsidRDefault="003679A3">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3049"/>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679A3"/>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0831"/>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01E9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66227"/>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374</Words>
  <Characters>2133</Characters>
  <Application>Microsoft Office Word</Application>
  <DocSecurity>0</DocSecurity>
  <Lines>17</Lines>
  <Paragraphs>5</Paragraphs>
  <ScaleCrop>false</ScaleCrop>
  <Company>cc</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