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南银理财珠联璧合致远平衡2012两年定开公募人民币理财产品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南银理财珠联璧合致远平衡2012两年定开公募人民币理财产品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Z7003221000042（投资者可依据该编码在中国理财网www.chinawealth.com.cn查询理财产品相关信息）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2020年12月24日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71,943,000.00份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国海富兰克林基金管理有限公司、中信期货有限公司、景顺长城基金管理有限公司、广发基金管理有限公司、安信基金管理有限责任公司、南方基金管理股份有限公司、交银施罗德基金管理有限公司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Z90002</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72,385,616.31</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1.0061</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1.0061</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71"/>
        <w:gridCol w:w="200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200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200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Z90002</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r>
              <w:rPr>
                <w:rFonts w:hint="eastAsia" w:ascii="方正仿宋_GBK" w:hAnsi="方正仿宋_GBK" w:eastAsia="方正仿宋_GBK" w:cs="方正仿宋_GBK"/>
                <w:sz w:val="24"/>
                <w:lang w:val="en-US" w:eastAsia="zh-CN"/>
              </w:rPr>
              <w:t>0.98</w:t>
            </w:r>
            <w:r>
              <w:rPr>
                <w:rFonts w:ascii="方正仿宋_GBK" w:hAnsi="方正仿宋_GBK" w:eastAsia="方正仿宋_GBK" w:cs="方正仿宋_GBK"/>
                <w:sz w:val="24"/>
              </w:rPr>
              <w:t>%</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2022年压制权益市场的负面因素较多，国内由于疫情防控、房地产调控导致经济衰退，国外通胀高企后流动性超预期收紧，叠加海外地缘冲突等黑天鹅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新半军为代表的赛道成长板块股价受制于持仓拥挤和交易博弈的现象较为普遍，反观煤炭、石油为代表的老能源同时受益于基本面和估值的修复，其他与经济周期相关的下游消费、中游制造在经济下行阶段也难以有明显的超额。</w:t>
      </w:r>
      <w:r>
        <w:rPr>
          <w:rFonts w:hint="eastAsia" w:ascii="方正仿宋_GBK" w:eastAsia="方正仿宋_GBK"/>
          <w:sz w:val="24"/>
          <w:szCs w:val="24"/>
        </w:rPr>
        <w:br w:type="textWrapping" w:clear="all"/>
      </w:r>
      <w:r>
        <w:rPr>
          <w:rFonts w:hint="eastAsia" w:ascii="方正仿宋_GBK" w:eastAsia="方正仿宋_GBK"/>
          <w:sz w:val="24"/>
          <w:szCs w:val="24"/>
        </w:rPr>
        <w:t xml:space="preserve">    权益部分在总体均衡配置的基础上，也对部分行业做了针对性的操作，其中对于基金重仓的消费、新能源板块阶段性规避，同时对医药、信创等板块择机超配。四季度特别是11月以来，我们看到疫情防控、房地产调控政策出现了明显的转向，说明国家安全和经济发展是一体两面而非左右互搏，叠加货币、财政政策可以预期的适度放松，海外的通胀在高位徘徊后出现环比回落，加息收紧的节奏也开始趋缓，整年压制权益市场的负面因素几乎都出现了缓解，同时目前股市估值对应的股债性价比依然处于过去十年80%以上分位数，权益资产具备中长期配置的优势，产品将维持更为积极的权益仓位，以应对经济复苏、流动性宽松的有利宏观组合。</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产品持仓中维持合理比例高流动性资产，提前做好关键时点资金储备，流动性状况较好。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截至报告期末，本产品份额净值为1.0061元。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75.45%</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76.48%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2.80%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24.55%</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20.72%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000385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景顺长城景颐双利债券A</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4,910,241.58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6.78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202101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南方宝元债券A</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4,851,861.71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6.70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002117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广发安享混合C</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4,497,966.34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6.21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002119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广发安盈混合C</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3,978,334.46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5.50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002088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国富新机遇混合C</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2,993,358.69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4.14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HHQTT202201060001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中信期货价值精粹6号集合资产管理计划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2,775,270.47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3.83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001338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安信稳健增值混合C</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1,842,362.21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013884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交银主题优选混合C</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1,701,220.38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0120010000000511</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南京银行致远平衡2012两年定开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bookmarkStart w:id="0" w:name="_GoBack"/>
      <w:bookmarkEnd w:id="0"/>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产品应支付关联方托管费3,643.54元，应支付关联方代销费54,652.48元。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556BE1"/>
    <w:rsid w:val="59E74023"/>
    <w:rsid w:val="5EBA334B"/>
    <w:rsid w:val="654F116F"/>
    <w:rsid w:val="67344534"/>
    <w:rsid w:val="6B00012E"/>
    <w:rsid w:val="702871A7"/>
    <w:rsid w:val="78B64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6</Pages>
  <Words>2177</Words>
  <Characters>2600</Characters>
  <Lines>16</Lines>
  <Paragraphs>4</Paragraphs>
  <TotalTime>23</TotalTime>
  <ScaleCrop>false</ScaleCrop>
  <LinksUpToDate>false</LinksUpToDate>
  <CharactersWithSpaces>2634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2023-01-16T09:20:55Z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