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南银理财珠联璧合逸稳94W770D封闭式公募人民币理财产品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南银理财珠联璧合逸稳94W770D封闭式公募人民币理财产品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Z7003221000136（投资者可依据该编码在中国理财网www.chinawealth.com.cn查询理财产品相关信息）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2021年03月03日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150,140,000.00份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Z50094</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163,051,241.17</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1.0859</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1.0859</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报告期内，本产品以帮客户实现稳定收益为目标，力求产品净值的稳定增长，产品主要投资于定制债券专户及优质非标债权资产，其中专户严把信用风险、注重分散投资、灵活管理久期</w:t>
      </w:r>
      <w:bookmarkStart w:id="0" w:name="_GoBack"/>
      <w:bookmarkEnd w:id="0"/>
      <w:r>
        <w:rPr>
          <w:rFonts w:hint="eastAsia" w:ascii="方正仿宋_GBK" w:eastAsia="方正仿宋_GBK" w:hAnsiTheme="minorHAnsi" w:cstheme="minorBidi"/>
          <w:sz w:val="24"/>
          <w:szCs w:val="24"/>
        </w:rPr>
        <w:t>，非标债权资产严选标的、锁定收益。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截至报告期末，本产品份额净值为1.0859元。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80,708,640.20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21088111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21盐城高新03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42,000,000.00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21088113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盐城高新区投资集团有限公司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21盐城高新03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安吉县交通投资发展集团有限公司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0120060000000561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南京银行逸稳94W</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产品应支付关联方托管费7,568.84元，应支付关联方代销费57,532.20元。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28B14A3"/>
    <w:rsid w:val="138B4249"/>
    <w:rsid w:val="1EFD54D7"/>
    <w:rsid w:val="1F1A3BC0"/>
    <w:rsid w:val="22E9024C"/>
    <w:rsid w:val="2651710C"/>
    <w:rsid w:val="2C5F4270"/>
    <w:rsid w:val="303009AF"/>
    <w:rsid w:val="341F714B"/>
    <w:rsid w:val="4A9C01DD"/>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1680</Words>
  <Characters>2012</Characters>
  <Lines>14</Lines>
  <Paragraphs>4</Paragraphs>
  <TotalTime>36</TotalTime>
  <ScaleCrop>false</ScaleCrop>
  <LinksUpToDate>false</LinksUpToDate>
  <CharactersWithSpaces>2041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2023-01-13T10:55:15Z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5E9ABA4635F441CBB34D2F5E0D28F52F</vt:lpwstr>
  </property>
</Properties>
</file>