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南银理财珠联璧合逸稳</w:t>
      </w:r>
      <w:proofErr w:type="gramEnd"/>
      <w:r>
        <w:rPr>
          <w:rFonts w:ascii="方正黑体_GBK" w:eastAsia="方正黑体_GBK" w:hint="eastAsia"/>
          <w:sz w:val="36"/>
          <w:szCs w:val="36"/>
        </w:rPr>
        <w:t>97W763D封闭式公募人民币理财产品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E42A25">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南银理财珠联璧合逸稳</w:t>
            </w:r>
            <w:proofErr w:type="gramEnd"/>
            <w:r>
              <w:rPr>
                <w:rFonts w:ascii="方正仿宋_GBK" w:eastAsia="方正仿宋_GBK" w:hAnsi="仿宋_GB2312" w:cs="仿宋_GB2312" w:hint="eastAsia"/>
                <w:sz w:val="24"/>
                <w:szCs w:val="24"/>
              </w:rPr>
              <w:t>97W763D封闭式公募人民币理财产品</w:t>
            </w:r>
          </w:p>
        </w:tc>
      </w:tr>
      <w:tr w:rsidR="00B31DA4" w:rsidTr="00E42A25">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Z7003221000139（投资者可依据该编码在中国理财网www.chinawealth.com.cn查询理财产品相关信息）</w:t>
            </w:r>
          </w:p>
        </w:tc>
      </w:tr>
      <w:tr w:rsidR="00B31DA4" w:rsidTr="00E42A25">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E42A25">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2021年03月10日</w:t>
            </w:r>
          </w:p>
        </w:tc>
      </w:tr>
      <w:tr w:rsidR="00B31DA4" w:rsidTr="00E42A25">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90,781,000.00份</w:t>
            </w:r>
          </w:p>
        </w:tc>
      </w:tr>
      <w:tr w:rsidR="00B31DA4" w:rsidTr="00E42A25">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w:t>
            </w:r>
          </w:p>
        </w:tc>
      </w:tr>
      <w:tr w:rsidR="00B31DA4" w:rsidTr="00E42A25">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E42A25">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47536F">
        <w:trPr>
          <w:trHeight w:val="565"/>
          <w:jc w:val="center"/>
        </w:trPr>
        <w:tc>
          <w:tcPr>
            <w:tcW w:w="1838" w:type="dxa"/>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Z50097</w:t>
            </w:r>
          </w:p>
        </w:tc>
        <w:tc>
          <w:tcPr>
            <w:tcW w:w="2693" w:type="dxa"/>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98,546,038.06</w:t>
            </w:r>
          </w:p>
        </w:tc>
        <w:tc>
          <w:tcPr>
            <w:tcW w:w="2410" w:type="dxa"/>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1.0855</w:t>
            </w:r>
          </w:p>
        </w:tc>
        <w:tc>
          <w:tcPr>
            <w:tcW w:w="2126" w:type="dxa"/>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1.0855</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3352E0" w:rsidRDefault="007816A9" w:rsidP="003352E0">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ascii="方正仿宋_GBK" w:eastAsia="方正仿宋_GBK" w:hAnsiTheme="minorHAnsi" w:cstheme="minorBidi" w:hint="eastAsia"/>
          <w:sz w:val="24"/>
          <w:szCs w:val="24"/>
        </w:rPr>
        <w:br w:type="textWrapping" w:clear="all"/>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w:t>
      </w:r>
      <w:r>
        <w:rPr>
          <w:rFonts w:ascii="方正仿宋_GBK" w:eastAsia="方正仿宋_GBK" w:hAnsiTheme="minorHAnsi" w:cstheme="minorBidi" w:hint="eastAsia"/>
          <w:sz w:val="24"/>
          <w:szCs w:val="24"/>
        </w:rPr>
        <w:lastRenderedPageBreak/>
        <w:t>主要投资于定制债券专户及优质非标债权资产，其中专户严把信用风险、注重分散投资、灵活管理久期，非标债权资产严选标的、锁定收益。</w:t>
      </w:r>
    </w:p>
    <w:p w:rsidR="00B31DA4" w:rsidRDefault="007816A9" w:rsidP="003352E0">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截至报告期末，本产品份额净值为1.0855元。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47536F">
        <w:trPr>
          <w:trHeight w:val="583"/>
          <w:jc w:val="center"/>
        </w:trPr>
        <w:tc>
          <w:tcPr>
            <w:tcW w:w="751" w:type="dxa"/>
            <w:shd w:val="clear" w:color="auto" w:fill="auto"/>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ZZGJT202005290001</w:t>
            </w:r>
          </w:p>
        </w:tc>
        <w:tc>
          <w:tcPr>
            <w:tcW w:w="2720" w:type="dxa"/>
            <w:shd w:val="clear" w:color="000000" w:fill="FFFFFF"/>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安利得51号</w:t>
            </w:r>
          </w:p>
        </w:tc>
        <w:tc>
          <w:tcPr>
            <w:tcW w:w="2058" w:type="dxa"/>
            <w:shd w:val="clear" w:color="000000" w:fill="FFFFFF"/>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50,028,251.27</w:t>
            </w:r>
          </w:p>
        </w:tc>
        <w:tc>
          <w:tcPr>
            <w:tcW w:w="1812" w:type="dxa"/>
            <w:shd w:val="clear" w:color="000000" w:fill="FFFFFF"/>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50.77</w:t>
            </w:r>
          </w:p>
        </w:tc>
      </w:tr>
      <w:tr w:rsidR="0047536F">
        <w:trPr>
          <w:trHeight w:val="583"/>
          <w:jc w:val="center"/>
        </w:trPr>
        <w:tc>
          <w:tcPr>
            <w:tcW w:w="751" w:type="dxa"/>
            <w:shd w:val="clear" w:color="auto" w:fill="auto"/>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21088113</w:t>
            </w:r>
          </w:p>
        </w:tc>
        <w:tc>
          <w:tcPr>
            <w:tcW w:w="2720" w:type="dxa"/>
            <w:shd w:val="clear" w:color="000000" w:fill="FFFFFF"/>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21安吉交通03</w:t>
            </w:r>
          </w:p>
        </w:tc>
        <w:tc>
          <w:tcPr>
            <w:tcW w:w="2058" w:type="dxa"/>
            <w:shd w:val="clear" w:color="000000" w:fill="FFFFFF"/>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44,000,000.00</w:t>
            </w:r>
          </w:p>
        </w:tc>
        <w:tc>
          <w:tcPr>
            <w:tcW w:w="1812" w:type="dxa"/>
            <w:shd w:val="clear" w:color="000000" w:fill="FFFFFF"/>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44.65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47536F">
        <w:trPr>
          <w:trHeight w:val="571"/>
          <w:jc w:val="center"/>
        </w:trPr>
        <w:tc>
          <w:tcPr>
            <w:tcW w:w="877" w:type="dxa"/>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安吉县交通投资发展集团有限公司</w:t>
            </w:r>
          </w:p>
        </w:tc>
        <w:tc>
          <w:tcPr>
            <w:tcW w:w="1275" w:type="dxa"/>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21安吉交通03</w:t>
            </w:r>
          </w:p>
        </w:tc>
        <w:tc>
          <w:tcPr>
            <w:tcW w:w="1540" w:type="dxa"/>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69</w:t>
            </w:r>
          </w:p>
        </w:tc>
        <w:tc>
          <w:tcPr>
            <w:tcW w:w="1383" w:type="dxa"/>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按年付息，到期还本</w:t>
            </w:r>
          </w:p>
        </w:tc>
        <w:tc>
          <w:tcPr>
            <w:tcW w:w="1271" w:type="dxa"/>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47536F" w:rsidRDefault="00E42A25">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47536F">
        <w:trPr>
          <w:trHeight w:val="584"/>
          <w:jc w:val="center"/>
        </w:trPr>
        <w:tc>
          <w:tcPr>
            <w:tcW w:w="846" w:type="dxa"/>
            <w:vAlign w:val="center"/>
          </w:tcPr>
          <w:p w:rsidR="0047536F" w:rsidRDefault="00E42A25">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47536F" w:rsidRDefault="00E42A25">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47536F" w:rsidRDefault="00E42A25">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0120000000000564</w:t>
            </w:r>
          </w:p>
        </w:tc>
        <w:tc>
          <w:tcPr>
            <w:tcW w:w="1983" w:type="dxa"/>
            <w:vAlign w:val="center"/>
          </w:tcPr>
          <w:p w:rsidR="0047536F" w:rsidRDefault="00E42A25">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南京银行逸稳</w:t>
            </w:r>
            <w:proofErr w:type="gramEnd"/>
            <w:r>
              <w:rPr>
                <w:rFonts w:ascii="方正仿宋_GBK" w:eastAsia="方正仿宋_GBK" w:hAnsi="方正仿宋_GBK" w:cs="方正仿宋_GBK"/>
                <w:sz w:val="24"/>
              </w:rPr>
              <w:t>97W</w:t>
            </w:r>
          </w:p>
        </w:tc>
        <w:tc>
          <w:tcPr>
            <w:tcW w:w="1988" w:type="dxa"/>
            <w:vAlign w:val="center"/>
          </w:tcPr>
          <w:p w:rsidR="0047536F" w:rsidRDefault="00E42A25">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产品应支付关联方托管费4,576.08元，应支付关联方代销费</w:t>
      </w:r>
      <w:r w:rsidR="00735F94">
        <w:rPr>
          <w:rFonts w:ascii="方正仿宋_GBK" w:eastAsia="方正仿宋_GBK" w:hAnsiTheme="minorHAnsi" w:cstheme="minorBidi" w:hint="eastAsia"/>
          <w:sz w:val="24"/>
          <w:szCs w:val="24"/>
        </w:rPr>
        <w:t>35,804.56</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19A" w:rsidRDefault="00F4019A">
      <w:pPr>
        <w:spacing w:after="72"/>
      </w:pPr>
      <w:r>
        <w:separator/>
      </w:r>
    </w:p>
  </w:endnote>
  <w:endnote w:type="continuationSeparator" w:id="0">
    <w:p w:rsidR="00F4019A" w:rsidRDefault="00F4019A">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19A" w:rsidRDefault="00F4019A">
      <w:pPr>
        <w:spacing w:after="72"/>
      </w:pPr>
      <w:r>
        <w:separator/>
      </w:r>
    </w:p>
  </w:footnote>
  <w:footnote w:type="continuationSeparator" w:id="0">
    <w:p w:rsidR="00F4019A" w:rsidRDefault="00F4019A">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352E0"/>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7536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2A25"/>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019A"/>
    <w:rsid w:val="00F4518F"/>
    <w:rsid w:val="00F62D3E"/>
    <w:rsid w:val="00F81FB3"/>
    <w:rsid w:val="00F91E69"/>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318</Words>
  <Characters>1814</Characters>
  <Application>Microsoft Office Word</Application>
  <DocSecurity>0</DocSecurity>
  <Lines>15</Lines>
  <Paragraphs>4</Paragraphs>
  <ScaleCrop>false</ScaleCrop>
  <Company>cc</Company>
  <LinksUpToDate>false</LinksUpToDate>
  <CharactersWithSpaces>2128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3</cp:revision>
  <dcterms:created xsi:type="dcterms:W3CDTF">2023-01-13T09:03:00Z</dcterms:created>
  <dcterms:modified xsi:type="dcterms:W3CDTF">2023-01-13T10:56:00Z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