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w:t>
      </w:r>
      <w:proofErr w:type="gramEnd"/>
      <w:r>
        <w:rPr>
          <w:rFonts w:ascii="方正黑体_GBK" w:eastAsia="方正黑体_GBK" w:hint="eastAsia"/>
          <w:sz w:val="36"/>
          <w:szCs w:val="36"/>
        </w:rPr>
        <w:t>致</w:t>
      </w:r>
      <w:proofErr w:type="gramStart"/>
      <w:r>
        <w:rPr>
          <w:rFonts w:ascii="方正黑体_GBK" w:eastAsia="方正黑体_GBK" w:hint="eastAsia"/>
          <w:sz w:val="36"/>
          <w:szCs w:val="36"/>
        </w:rPr>
        <w:t>远平衡</w:t>
      </w:r>
      <w:proofErr w:type="gramEnd"/>
      <w:r>
        <w:rPr>
          <w:rFonts w:ascii="方正黑体_GBK" w:eastAsia="方正黑体_GBK" w:hint="eastAsia"/>
          <w:sz w:val="36"/>
          <w:szCs w:val="36"/>
        </w:rPr>
        <w:t>两年定开3期公募人民币理财产品（科技创新）</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E338B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w:t>
            </w:r>
            <w:proofErr w:type="gramEnd"/>
            <w:r>
              <w:rPr>
                <w:rFonts w:ascii="方正仿宋_GBK" w:eastAsia="方正仿宋_GBK" w:hAnsi="仿宋_GB2312" w:cs="仿宋_GB2312" w:hint="eastAsia"/>
                <w:sz w:val="24"/>
                <w:szCs w:val="24"/>
              </w:rPr>
              <w:t>致</w:t>
            </w:r>
            <w:proofErr w:type="gramStart"/>
            <w:r>
              <w:rPr>
                <w:rFonts w:ascii="方正仿宋_GBK" w:eastAsia="方正仿宋_GBK" w:hAnsi="仿宋_GB2312" w:cs="仿宋_GB2312" w:hint="eastAsia"/>
                <w:sz w:val="24"/>
                <w:szCs w:val="24"/>
              </w:rPr>
              <w:t>远平衡</w:t>
            </w:r>
            <w:proofErr w:type="gramEnd"/>
            <w:r>
              <w:rPr>
                <w:rFonts w:ascii="方正仿宋_GBK" w:eastAsia="方正仿宋_GBK" w:hAnsi="仿宋_GB2312" w:cs="仿宋_GB2312" w:hint="eastAsia"/>
                <w:sz w:val="24"/>
                <w:szCs w:val="24"/>
              </w:rPr>
              <w:t>两年定开3期公募人民币理财产品（科技创新）</w:t>
            </w:r>
          </w:p>
        </w:tc>
      </w:tr>
      <w:tr w:rsidR="00B31DA4" w:rsidTr="00E338B9">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Z7003221000145（投资者可依据该编码在中国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E338B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E338B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2021年08月25日</w:t>
            </w:r>
          </w:p>
        </w:tc>
      </w:tr>
      <w:tr w:rsidR="00B31DA4" w:rsidTr="00E338B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563,654,769.00份</w:t>
            </w:r>
          </w:p>
        </w:tc>
      </w:tr>
      <w:tr w:rsidR="00B31DA4" w:rsidTr="00E338B9">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华泰柏瑞基金管理有限公司、华宝基金管理有限公司、万家基金管理有限公司、</w:t>
            </w:r>
            <w:proofErr w:type="gramStart"/>
            <w:r>
              <w:rPr>
                <w:rFonts w:ascii="方正仿宋_GBK" w:eastAsia="方正仿宋_GBK" w:hAnsi="仿宋_GB2312" w:cs="仿宋_GB2312" w:hint="eastAsia"/>
                <w:sz w:val="24"/>
                <w:szCs w:val="24"/>
              </w:rPr>
              <w:t>中庚基金</w:t>
            </w:r>
            <w:proofErr w:type="gramEnd"/>
            <w:r>
              <w:rPr>
                <w:rFonts w:ascii="方正仿宋_GBK" w:eastAsia="方正仿宋_GBK" w:hAnsi="仿宋_GB2312" w:cs="仿宋_GB2312" w:hint="eastAsia"/>
                <w:sz w:val="24"/>
                <w:szCs w:val="24"/>
              </w:rPr>
              <w:t>管理有限公司、</w:t>
            </w:r>
            <w:proofErr w:type="gramStart"/>
            <w:r>
              <w:rPr>
                <w:rFonts w:ascii="方正仿宋_GBK" w:eastAsia="方正仿宋_GBK" w:hAnsi="仿宋_GB2312" w:cs="仿宋_GB2312" w:hint="eastAsia"/>
                <w:sz w:val="24"/>
                <w:szCs w:val="24"/>
              </w:rPr>
              <w:t>天弘基金</w:t>
            </w:r>
            <w:proofErr w:type="gramEnd"/>
            <w:r>
              <w:rPr>
                <w:rFonts w:ascii="方正仿宋_GBK" w:eastAsia="方正仿宋_GBK" w:hAnsi="仿宋_GB2312" w:cs="仿宋_GB2312" w:hint="eastAsia"/>
                <w:sz w:val="24"/>
                <w:szCs w:val="24"/>
              </w:rPr>
              <w:t>管理有限公司、华夏基金管理有限公司、富国基金管理有限公司、光大保德信基金管理有限公司、安信基金管理有限责任公司、中欧基金管理有限公司、</w:t>
            </w:r>
            <w:proofErr w:type="gramStart"/>
            <w:r>
              <w:rPr>
                <w:rFonts w:ascii="方正仿宋_GBK" w:eastAsia="方正仿宋_GBK" w:hAnsi="仿宋_GB2312" w:cs="仿宋_GB2312" w:hint="eastAsia"/>
                <w:sz w:val="24"/>
                <w:szCs w:val="24"/>
              </w:rPr>
              <w:t>工银瑞信</w:t>
            </w:r>
            <w:proofErr w:type="gramEnd"/>
            <w:r>
              <w:rPr>
                <w:rFonts w:ascii="方正仿宋_GBK" w:eastAsia="方正仿宋_GBK" w:hAnsi="仿宋_GB2312" w:cs="仿宋_GB2312" w:hint="eastAsia"/>
                <w:sz w:val="24"/>
                <w:szCs w:val="24"/>
              </w:rPr>
              <w:t>基金管理有限公司、中信期货有限公司</w:t>
            </w:r>
          </w:p>
        </w:tc>
      </w:tr>
      <w:tr w:rsidR="00B31DA4" w:rsidTr="00E338B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E338B9">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3015FA">
        <w:trPr>
          <w:trHeight w:val="565"/>
          <w:jc w:val="center"/>
        </w:trPr>
        <w:tc>
          <w:tcPr>
            <w:tcW w:w="1838"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Z90007</w:t>
            </w:r>
          </w:p>
        </w:tc>
        <w:tc>
          <w:tcPr>
            <w:tcW w:w="2693"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541,508,388.08</w:t>
            </w:r>
          </w:p>
        </w:tc>
        <w:tc>
          <w:tcPr>
            <w:tcW w:w="2410"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0.9607</w:t>
            </w:r>
          </w:p>
        </w:tc>
        <w:tc>
          <w:tcPr>
            <w:tcW w:w="2126"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0.9607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t>
      </w:r>
      <w:r>
        <w:rPr>
          <w:rFonts w:ascii="方正仿宋_GBK" w:eastAsia="方正仿宋_GBK" w:hAnsiTheme="minorHAnsi" w:cstheme="minorBidi" w:hint="eastAsia"/>
          <w:sz w:val="24"/>
          <w:szCs w:val="24"/>
        </w:rPr>
        <w:t xml:space="preserve">   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往后看，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信用效果、外部出口压力等数据及两会前后政策层面的变</w:t>
      </w:r>
      <w:r>
        <w:rPr>
          <w:rFonts w:ascii="方正仿宋_GBK" w:eastAsia="方正仿宋_GBK" w:hAnsiTheme="minorHAnsi" w:cstheme="minorBidi" w:hint="eastAsia"/>
          <w:sz w:val="24"/>
          <w:szCs w:val="24"/>
        </w:rPr>
        <w:lastRenderedPageBreak/>
        <w:t>化。</w:t>
      </w:r>
      <w:r>
        <w:rPr>
          <w:rFonts w:ascii="方正仿宋_GBK" w:eastAsia="方正仿宋_GBK" w:hAnsiTheme="minorHAnsi" w:cstheme="minorBidi" w:hint="eastAsia"/>
          <w:sz w:val="24"/>
          <w:szCs w:val="24"/>
        </w:rPr>
        <w:br w:type="textWrapping" w:clear="all"/>
        <w:t xml:space="preserve">    2022年压制权益市场的负面因素较多，国内由于疫情防控、房地产调控导致经济衰退，国外通胀高企后流动性超预期收紧，叠加海外地缘</w:t>
      </w:r>
      <w:proofErr w:type="gramStart"/>
      <w:r>
        <w:rPr>
          <w:rFonts w:ascii="方正仿宋_GBK" w:eastAsia="方正仿宋_GBK" w:hAnsiTheme="minorHAnsi" w:cstheme="minorBidi" w:hint="eastAsia"/>
          <w:sz w:val="24"/>
          <w:szCs w:val="24"/>
        </w:rPr>
        <w:t>冲突等黑天鹅</w:t>
      </w:r>
      <w:proofErr w:type="gramEnd"/>
      <w:r>
        <w:rPr>
          <w:rFonts w:ascii="方正仿宋_GBK" w:eastAsia="方正仿宋_GBK" w:hAnsiTheme="minorHAnsi" w:cstheme="minorBidi" w:hint="eastAsia"/>
          <w:sz w:val="24"/>
          <w:szCs w:val="24"/>
        </w:rPr>
        <w:t>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w:t>
      </w:r>
      <w:proofErr w:type="gramStart"/>
      <w:r>
        <w:rPr>
          <w:rFonts w:ascii="方正仿宋_GBK" w:eastAsia="方正仿宋_GBK" w:hAnsiTheme="minorHAnsi" w:cstheme="minorBidi" w:hint="eastAsia"/>
          <w:sz w:val="24"/>
          <w:szCs w:val="24"/>
        </w:rPr>
        <w:t>新半军</w:t>
      </w:r>
      <w:proofErr w:type="gramEnd"/>
      <w:r>
        <w:rPr>
          <w:rFonts w:ascii="方正仿宋_GBK" w:eastAsia="方正仿宋_GBK" w:hAnsiTheme="minorHAnsi" w:cstheme="minorBidi" w:hint="eastAsia"/>
          <w:sz w:val="24"/>
          <w:szCs w:val="24"/>
        </w:rPr>
        <w:t>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偏防守，其中对于基金重仓的消费、新能源板块阶段性规避，对煤炭为代表的周期以及医药、</w:t>
      </w:r>
      <w:proofErr w:type="gramStart"/>
      <w:r>
        <w:rPr>
          <w:rFonts w:ascii="方正仿宋_GBK" w:eastAsia="方正仿宋_GBK" w:hAnsiTheme="minorHAnsi" w:cstheme="minorBidi" w:hint="eastAsia"/>
          <w:sz w:val="24"/>
          <w:szCs w:val="24"/>
        </w:rPr>
        <w:t>信创等</w:t>
      </w:r>
      <w:proofErr w:type="gramEnd"/>
      <w:r>
        <w:rPr>
          <w:rFonts w:ascii="方正仿宋_GBK" w:eastAsia="方正仿宋_GBK" w:hAnsiTheme="minorHAnsi" w:cstheme="minorBidi" w:hint="eastAsia"/>
          <w:sz w:val="24"/>
          <w:szCs w:val="24"/>
        </w:rPr>
        <w:t>板块择机超配，是全年超额收益的主要来源。四季度特别是11月以来，我们看到疫情防控、房地产调控政策出现了明显的转向，说明国家安全和经济发展是一体两面而</w:t>
      </w:r>
      <w:proofErr w:type="gramStart"/>
      <w:r>
        <w:rPr>
          <w:rFonts w:ascii="方正仿宋_GBK" w:eastAsia="方正仿宋_GBK" w:hAnsiTheme="minorHAnsi" w:cstheme="minorBidi" w:hint="eastAsia"/>
          <w:sz w:val="24"/>
          <w:szCs w:val="24"/>
        </w:rPr>
        <w:t>非左右互</w:t>
      </w:r>
      <w:proofErr w:type="gramEnd"/>
      <w:r>
        <w:rPr>
          <w:rFonts w:ascii="方正仿宋_GBK" w:eastAsia="方正仿宋_GBK" w:hAnsiTheme="minorHAnsi" w:cstheme="minorBidi" w:hint="eastAsia"/>
          <w:sz w:val="24"/>
          <w:szCs w:val="24"/>
        </w:rPr>
        <w:t>搏，叠加货币、财政政策可以预期的适度放松，而海外的通胀在高位徘徊后出现环比回落，加息收紧的节奏也开始趋缓，整年压制权益市场的负面因素几乎都出现了缓解，同时目前股市估值对应的</w:t>
      </w:r>
      <w:proofErr w:type="gramStart"/>
      <w:r>
        <w:rPr>
          <w:rFonts w:ascii="方正仿宋_GBK" w:eastAsia="方正仿宋_GBK" w:hAnsiTheme="minorHAnsi" w:cstheme="minorBidi" w:hint="eastAsia"/>
          <w:sz w:val="24"/>
          <w:szCs w:val="24"/>
        </w:rPr>
        <w:t>股债性价</w:t>
      </w:r>
      <w:proofErr w:type="gramEnd"/>
      <w:r>
        <w:rPr>
          <w:rFonts w:ascii="方正仿宋_GBK" w:eastAsia="方正仿宋_GBK" w:hAnsiTheme="minorHAnsi" w:cstheme="minorBidi" w:hint="eastAsia"/>
          <w:sz w:val="24"/>
          <w:szCs w:val="24"/>
        </w:rPr>
        <w:t>比依然处于过去十年80%以上分位数，权益资产具备中长期配置的优势，产品将维持更为积极的权益</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，以应对经济复苏、流动性宽松的有利宏观组合。</w:t>
      </w:r>
      <w:bookmarkStart w:id="0" w:name="_GoBack"/>
      <w:bookmarkEnd w:id="0"/>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产品持仓中维持合理比例高流动性资产，提前做好关键时点资金储备，流动性状况较好。</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截至报告期末，本产品份额净值为0.9607元。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74.49%</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76.04%</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10.36%</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14.58%</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15.15%</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9.38%</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22881248</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空港枢纽</w:t>
            </w:r>
            <w:r>
              <w:rPr>
                <w:rFonts w:ascii="方正仿宋_GBK" w:eastAsia="方正仿宋_GBK" w:hAnsi="方正仿宋_GBK" w:cs="方正仿宋_GBK"/>
                <w:sz w:val="24"/>
              </w:rPr>
              <w:t>01</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149,718,653.73</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27.65</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22881299</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淮安交控</w:t>
            </w:r>
            <w:r>
              <w:rPr>
                <w:rFonts w:ascii="方正仿宋_GBK" w:eastAsia="方正仿宋_GBK" w:hAnsi="方正仿宋_GBK" w:cs="方正仿宋_GBK"/>
                <w:sz w:val="24"/>
              </w:rPr>
              <w:t>07</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74,798,864.69</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13.81</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HHQTT202201060001</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中信期货价值精粹</w:t>
            </w:r>
            <w:r>
              <w:rPr>
                <w:rFonts w:ascii="方正仿宋_GBK" w:eastAsia="方正仿宋_GBK" w:hAnsi="方正仿宋_GBK" w:cs="方正仿宋_GBK"/>
                <w:sz w:val="24"/>
              </w:rPr>
              <w:t>6</w:t>
            </w:r>
            <w:r>
              <w:rPr>
                <w:rFonts w:ascii="方正仿宋_GBK" w:eastAsia="方正仿宋_GBK" w:hAnsi="方正仿宋_GBK" w:cs="方正仿宋_GBK"/>
                <w:sz w:val="24"/>
              </w:rPr>
              <w:t>号集合资产管理计划</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31,293,070.65</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5.78</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175294</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w:t>
            </w:r>
            <w:proofErr w:type="gramStart"/>
            <w:r>
              <w:rPr>
                <w:rFonts w:ascii="方正仿宋_GBK" w:eastAsia="方正仿宋_GBK" w:hAnsi="方正仿宋_GBK" w:cs="方正仿宋_GBK"/>
                <w:sz w:val="24"/>
              </w:rPr>
              <w:t>滨建</w:t>
            </w:r>
            <w:proofErr w:type="gramEnd"/>
            <w:r>
              <w:rPr>
                <w:rFonts w:ascii="方正仿宋_GBK" w:eastAsia="方正仿宋_GBK" w:hAnsi="方正仿宋_GBK" w:cs="方正仿宋_GBK"/>
                <w:sz w:val="24"/>
              </w:rPr>
              <w:t>G1</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30,011,370.00</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5.54</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188693</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w:t>
            </w:r>
            <w:r>
              <w:rPr>
                <w:rFonts w:ascii="方正仿宋_GBK" w:eastAsia="方正仿宋_GBK" w:hAnsi="方正仿宋_GBK" w:cs="方正仿宋_GBK"/>
                <w:sz w:val="24"/>
              </w:rPr>
              <w:t>恒信</w:t>
            </w:r>
            <w:r>
              <w:rPr>
                <w:rFonts w:ascii="方正仿宋_GBK" w:eastAsia="方正仿宋_GBK" w:hAnsi="方正仿宋_GBK" w:cs="方正仿宋_GBK"/>
                <w:sz w:val="24"/>
              </w:rPr>
              <w:t>Y3</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20,098,540.00</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3.71</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22088484</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义乌城建</w:t>
            </w:r>
            <w:r>
              <w:rPr>
                <w:rFonts w:ascii="方正仿宋_GBK" w:eastAsia="方正仿宋_GBK" w:hAnsi="方正仿宋_GBK" w:cs="方正仿宋_GBK"/>
                <w:sz w:val="24"/>
              </w:rPr>
              <w:t>01</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19,986,902.19</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3.69</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150678</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18</w:t>
            </w:r>
            <w:proofErr w:type="gramStart"/>
            <w:r>
              <w:rPr>
                <w:rFonts w:ascii="方正仿宋_GBK" w:eastAsia="方正仿宋_GBK" w:hAnsi="方正仿宋_GBK" w:cs="方正仿宋_GBK"/>
                <w:sz w:val="24"/>
              </w:rPr>
              <w:t>淮发</w:t>
            </w:r>
            <w:proofErr w:type="gramEnd"/>
            <w:r>
              <w:rPr>
                <w:rFonts w:ascii="方正仿宋_GBK" w:eastAsia="方正仿宋_GBK" w:hAnsi="方正仿宋_GBK" w:cs="方正仿宋_GBK"/>
                <w:sz w:val="24"/>
              </w:rPr>
              <w:t>01</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19,879,760.00</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3.67</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001980</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中欧量化驱动混合</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16,746,987.80</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3.09</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9</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012930</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中庚价值</w:t>
            </w:r>
            <w:proofErr w:type="gramEnd"/>
            <w:r>
              <w:rPr>
                <w:rFonts w:ascii="方正仿宋_GBK" w:eastAsia="方正仿宋_GBK" w:hAnsi="方正仿宋_GBK" w:cs="方正仿宋_GBK"/>
                <w:sz w:val="24"/>
              </w:rPr>
              <w:t>先锋股票</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16,643,525.85</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3.07</w:t>
            </w:r>
          </w:p>
        </w:tc>
      </w:tr>
      <w:tr w:rsidR="003015FA">
        <w:trPr>
          <w:trHeight w:val="583"/>
          <w:jc w:val="center"/>
        </w:trPr>
        <w:tc>
          <w:tcPr>
            <w:tcW w:w="751"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w:t>
            </w:r>
          </w:p>
        </w:tc>
        <w:tc>
          <w:tcPr>
            <w:tcW w:w="1585" w:type="dxa"/>
            <w:shd w:val="clear" w:color="auto" w:fill="auto"/>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008234</w:t>
            </w:r>
          </w:p>
        </w:tc>
        <w:tc>
          <w:tcPr>
            <w:tcW w:w="2720"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光大保德</w:t>
            </w:r>
            <w:proofErr w:type="gramStart"/>
            <w:r>
              <w:rPr>
                <w:rFonts w:ascii="方正仿宋_GBK" w:eastAsia="方正仿宋_GBK" w:hAnsi="方正仿宋_GBK" w:cs="方正仿宋_GBK"/>
                <w:sz w:val="24"/>
              </w:rPr>
              <w:t>信消费</w:t>
            </w:r>
            <w:proofErr w:type="gramEnd"/>
            <w:r>
              <w:rPr>
                <w:rFonts w:ascii="方正仿宋_GBK" w:eastAsia="方正仿宋_GBK" w:hAnsi="方正仿宋_GBK" w:cs="方正仿宋_GBK"/>
                <w:sz w:val="24"/>
              </w:rPr>
              <w:t>主题股票</w:t>
            </w:r>
          </w:p>
        </w:tc>
        <w:tc>
          <w:tcPr>
            <w:tcW w:w="2058"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15,166,574.11</w:t>
            </w:r>
          </w:p>
        </w:tc>
        <w:tc>
          <w:tcPr>
            <w:tcW w:w="1812" w:type="dxa"/>
            <w:shd w:val="clear" w:color="000000" w:fill="FFFFFF"/>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2.80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3015FA">
        <w:trPr>
          <w:trHeight w:val="571"/>
          <w:jc w:val="center"/>
        </w:trPr>
        <w:tc>
          <w:tcPr>
            <w:tcW w:w="877"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南京空港枢纽经济区投资发展有限公司</w:t>
            </w:r>
          </w:p>
        </w:tc>
        <w:tc>
          <w:tcPr>
            <w:tcW w:w="1275"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空港枢纽</w:t>
            </w:r>
            <w:r>
              <w:rPr>
                <w:rFonts w:ascii="方正仿宋_GBK" w:eastAsia="方正仿宋_GBK" w:hAnsi="方正仿宋_GBK" w:cs="方正仿宋_GBK"/>
                <w:sz w:val="24"/>
              </w:rPr>
              <w:t>01</w:t>
            </w:r>
          </w:p>
        </w:tc>
        <w:tc>
          <w:tcPr>
            <w:tcW w:w="1540"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264</w:t>
            </w:r>
          </w:p>
        </w:tc>
        <w:tc>
          <w:tcPr>
            <w:tcW w:w="1383"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3015FA">
        <w:trPr>
          <w:trHeight w:val="571"/>
          <w:jc w:val="center"/>
        </w:trPr>
        <w:tc>
          <w:tcPr>
            <w:tcW w:w="877"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义乌市城市投资建设集团有限公司</w:t>
            </w:r>
          </w:p>
        </w:tc>
        <w:tc>
          <w:tcPr>
            <w:tcW w:w="1275"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义乌城建</w:t>
            </w:r>
            <w:r>
              <w:rPr>
                <w:rFonts w:ascii="方正仿宋_GBK" w:eastAsia="方正仿宋_GBK" w:hAnsi="方正仿宋_GBK" w:cs="方正仿宋_GBK"/>
                <w:sz w:val="24"/>
              </w:rPr>
              <w:t>01</w:t>
            </w:r>
          </w:p>
        </w:tc>
        <w:tc>
          <w:tcPr>
            <w:tcW w:w="1540"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105</w:t>
            </w:r>
          </w:p>
        </w:tc>
        <w:tc>
          <w:tcPr>
            <w:tcW w:w="1383"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3015FA">
        <w:trPr>
          <w:trHeight w:val="571"/>
          <w:jc w:val="center"/>
        </w:trPr>
        <w:tc>
          <w:tcPr>
            <w:tcW w:w="877"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淮安市交通控股集团有限公司</w:t>
            </w:r>
          </w:p>
        </w:tc>
        <w:tc>
          <w:tcPr>
            <w:tcW w:w="1275"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淮安交控</w:t>
            </w:r>
            <w:r>
              <w:rPr>
                <w:rFonts w:ascii="方正仿宋_GBK" w:eastAsia="方正仿宋_GBK" w:hAnsi="方正仿宋_GBK" w:cs="方正仿宋_GBK"/>
                <w:sz w:val="24"/>
              </w:rPr>
              <w:t>07</w:t>
            </w:r>
          </w:p>
        </w:tc>
        <w:tc>
          <w:tcPr>
            <w:tcW w:w="1540"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261</w:t>
            </w:r>
          </w:p>
        </w:tc>
        <w:tc>
          <w:tcPr>
            <w:tcW w:w="1383"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3015FA" w:rsidRDefault="002A106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3015FA">
        <w:trPr>
          <w:trHeight w:val="584"/>
          <w:jc w:val="center"/>
        </w:trPr>
        <w:tc>
          <w:tcPr>
            <w:tcW w:w="846" w:type="dxa"/>
            <w:vAlign w:val="center"/>
          </w:tcPr>
          <w:p w:rsidR="003015FA" w:rsidRDefault="002A106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3015FA" w:rsidRDefault="002A106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3015FA" w:rsidRDefault="002A106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0120070000000669</w:t>
            </w:r>
          </w:p>
        </w:tc>
        <w:tc>
          <w:tcPr>
            <w:tcW w:w="1983" w:type="dxa"/>
            <w:vAlign w:val="center"/>
          </w:tcPr>
          <w:p w:rsidR="003015FA" w:rsidRDefault="002A106E">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南银理财鑫致远平衡</w:t>
            </w:r>
            <w:proofErr w:type="gramEnd"/>
            <w:r>
              <w:rPr>
                <w:rFonts w:ascii="方正仿宋_GBK" w:eastAsia="方正仿宋_GBK" w:hAnsi="方正仿宋_GBK" w:cs="方正仿宋_GBK"/>
                <w:sz w:val="24"/>
              </w:rPr>
              <w:t>两年定开</w:t>
            </w:r>
            <w:r>
              <w:rPr>
                <w:rFonts w:ascii="方正仿宋_GBK" w:eastAsia="方正仿宋_GBK" w:hAnsi="方正仿宋_GBK" w:cs="方正仿宋_GBK"/>
                <w:sz w:val="24"/>
              </w:rPr>
              <w:t>3</w:t>
            </w:r>
            <w:r>
              <w:rPr>
                <w:rFonts w:ascii="方正仿宋_GBK" w:eastAsia="方正仿宋_GBK" w:hAnsi="方正仿宋_GBK" w:cs="方正仿宋_GBK"/>
                <w:sz w:val="24"/>
              </w:rPr>
              <w:t>期</w:t>
            </w:r>
          </w:p>
        </w:tc>
        <w:tc>
          <w:tcPr>
            <w:tcW w:w="1988" w:type="dxa"/>
            <w:vAlign w:val="center"/>
          </w:tcPr>
          <w:p w:rsidR="003015FA" w:rsidRDefault="002A106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lastRenderedPageBreak/>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产品投资于关联方承销的证券交易金额75,000,000.00元。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产品应支付关联方托管费27,452.32元，应支付关联方代销费</w:t>
      </w:r>
      <w:r w:rsidR="00735F94">
        <w:rPr>
          <w:rFonts w:ascii="方正仿宋_GBK" w:eastAsia="方正仿宋_GBK" w:hAnsiTheme="minorHAnsi" w:cstheme="minorBidi" w:hint="eastAsia"/>
          <w:sz w:val="24"/>
          <w:szCs w:val="24"/>
        </w:rPr>
        <w:t>549,047.34</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7FF" w:rsidRDefault="007816A9">
      <w:pPr>
        <w:spacing w:after="72"/>
      </w:pPr>
      <w:r>
        <w:separator/>
      </w:r>
    </w:p>
  </w:endnote>
  <w:endnote w:type="continuationSeparator" w:id="0">
    <w:p w:rsidR="005117FF" w:rsidRDefault="007816A9">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7FF" w:rsidRDefault="007816A9">
      <w:pPr>
        <w:spacing w:after="72"/>
      </w:pPr>
      <w:r>
        <w:separator/>
      </w:r>
    </w:p>
  </w:footnote>
  <w:footnote w:type="continuationSeparator" w:id="0">
    <w:p w:rsidR="005117FF" w:rsidRDefault="007816A9">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015FA"/>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338B9"/>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454</Words>
  <Characters>2589</Characters>
  <Application>Microsoft Office Word</Application>
  <DocSecurity>0</DocSecurity>
  <Lines>21</Lines>
  <Paragraphs>6</Paragraphs>
  <ScaleCrop>false</ScaleCrop>
  <Company>cc</Company>
  <LinksUpToDate>false</LinksUpToDate>
  <CharactersWithSpaces>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兆尹科技</cp:lastModifiedBy>
  <cp:revision>2</cp:revision>
  <dcterms:created xsi:type="dcterms:W3CDTF">2023-01-13T08:36:00Z</dcterms:created>
  <dcterms:modified xsi:type="dcterms:W3CDTF">2023-01-13T08:36:00Z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