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鑫逸稳增强</w:t>
      </w:r>
      <w:proofErr w:type="gramEnd"/>
      <w:r>
        <w:rPr>
          <w:rFonts w:ascii="方正黑体_GBK" w:eastAsia="方正黑体_GBK" w:hint="eastAsia"/>
          <w:sz w:val="36"/>
          <w:szCs w:val="36"/>
        </w:rPr>
        <w:t>两年7期封闭式公募人民币理财产品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17205D">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鑫逸稳增强</w:t>
            </w:r>
            <w:proofErr w:type="gramEnd"/>
            <w:r>
              <w:rPr>
                <w:rFonts w:ascii="方正仿宋_GBK" w:eastAsia="方正仿宋_GBK" w:hAnsi="仿宋_GB2312" w:cs="仿宋_GB2312" w:hint="eastAsia"/>
                <w:sz w:val="24"/>
                <w:szCs w:val="24"/>
              </w:rPr>
              <w:t>两年7期封闭式公募人民币理财产品</w:t>
            </w:r>
          </w:p>
        </w:tc>
      </w:tr>
      <w:tr w:rsidR="00B31DA4" w:rsidTr="0017205D">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Z7003221000171（投资者可依据该编码在中国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17205D">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17205D">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2021年12月29日</w:t>
            </w:r>
          </w:p>
        </w:tc>
      </w:tr>
      <w:tr w:rsidR="00B31DA4" w:rsidTr="0017205D">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63,785,277.00份</w:t>
            </w:r>
          </w:p>
        </w:tc>
      </w:tr>
      <w:tr w:rsidR="00B31DA4" w:rsidTr="0017205D">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华夏基金管理有限公司、</w:t>
            </w:r>
            <w:proofErr w:type="gramStart"/>
            <w:r>
              <w:rPr>
                <w:rFonts w:ascii="方正仿宋_GBK" w:eastAsia="方正仿宋_GBK" w:hAnsi="仿宋_GB2312" w:cs="仿宋_GB2312" w:hint="eastAsia"/>
                <w:sz w:val="24"/>
                <w:szCs w:val="24"/>
              </w:rPr>
              <w:t>鑫元基金</w:t>
            </w:r>
            <w:proofErr w:type="gramEnd"/>
            <w:r>
              <w:rPr>
                <w:rFonts w:ascii="方正仿宋_GBK" w:eastAsia="方正仿宋_GBK" w:hAnsi="仿宋_GB2312" w:cs="仿宋_GB2312" w:hint="eastAsia"/>
                <w:sz w:val="24"/>
                <w:szCs w:val="24"/>
              </w:rPr>
              <w:t>管理有限公司</w:t>
            </w:r>
          </w:p>
        </w:tc>
      </w:tr>
      <w:tr w:rsidR="00B31DA4" w:rsidTr="0017205D">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17205D">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FA2385">
        <w:trPr>
          <w:trHeight w:val="565"/>
          <w:jc w:val="center"/>
        </w:trPr>
        <w:tc>
          <w:tcPr>
            <w:tcW w:w="1838"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Y40007</w:t>
            </w:r>
          </w:p>
        </w:tc>
        <w:tc>
          <w:tcPr>
            <w:tcW w:w="2693"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65,494,285.51</w:t>
            </w:r>
          </w:p>
        </w:tc>
        <w:tc>
          <w:tcPr>
            <w:tcW w:w="2410"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1.0267</w:t>
            </w:r>
          </w:p>
        </w:tc>
        <w:tc>
          <w:tcPr>
            <w:tcW w:w="2126"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1.0267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87228B" w:rsidRDefault="007816A9" w:rsidP="0087228B">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w:t>
      </w:r>
      <w:r>
        <w:rPr>
          <w:rFonts w:ascii="方正仿宋_GBK" w:eastAsia="方正仿宋_GBK" w:hAnsiTheme="minorHAnsi" w:cstheme="minorBidi" w:hint="eastAsia"/>
          <w:sz w:val="24"/>
          <w:szCs w:val="24"/>
        </w:rPr>
        <w:br w:type="textWrapping" w:clear="all"/>
        <w:t xml:space="preserve">    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往后看，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本产品投资的非标准化债权类资产底层主要为江浙地区优质城投企业。截至2022</w:t>
      </w:r>
      <w:r>
        <w:rPr>
          <w:rFonts w:ascii="方正仿宋_GBK" w:eastAsia="方正仿宋_GBK" w:hAnsiTheme="minorHAnsi" w:cstheme="minorBidi" w:hint="eastAsia"/>
          <w:sz w:val="24"/>
          <w:szCs w:val="24"/>
        </w:rPr>
        <w:lastRenderedPageBreak/>
        <w:t>年末，本产品所投非标准化债权类资产的融资人还本付息情况良好，再融资及各项经营活动正常。受银保监会15号</w:t>
      </w:r>
      <w:proofErr w:type="gramStart"/>
      <w:r>
        <w:rPr>
          <w:rFonts w:ascii="方正仿宋_GBK" w:eastAsia="方正仿宋_GBK" w:hAnsiTheme="minorHAnsi" w:cstheme="minorBidi" w:hint="eastAsia"/>
          <w:sz w:val="24"/>
          <w:szCs w:val="24"/>
        </w:rPr>
        <w:t>文持续</w:t>
      </w:r>
      <w:proofErr w:type="gramEnd"/>
      <w:r>
        <w:rPr>
          <w:rFonts w:ascii="方正仿宋_GBK" w:eastAsia="方正仿宋_GBK" w:hAnsiTheme="minorHAnsi" w:cstheme="minorBidi" w:hint="eastAsia"/>
          <w:sz w:val="24"/>
          <w:szCs w:val="24"/>
        </w:rPr>
        <w:t>约束，城投平台借款增速同比下降；同时今年</w:t>
      </w:r>
      <w:proofErr w:type="gramStart"/>
      <w:r>
        <w:rPr>
          <w:rFonts w:ascii="方正仿宋_GBK" w:eastAsia="方正仿宋_GBK" w:hAnsiTheme="minorHAnsi" w:cstheme="minorBidi" w:hint="eastAsia"/>
          <w:sz w:val="24"/>
          <w:szCs w:val="24"/>
        </w:rPr>
        <w:t>以来涉隐债主</w:t>
      </w:r>
      <w:proofErr w:type="gramEnd"/>
      <w:r>
        <w:rPr>
          <w:rFonts w:ascii="方正仿宋_GBK" w:eastAsia="方正仿宋_GBK" w:hAnsiTheme="minorHAnsi" w:cstheme="minorBidi" w:hint="eastAsia"/>
          <w:sz w:val="24"/>
          <w:szCs w:val="24"/>
        </w:rPr>
        <w:t>体基本只允许借新还旧，使得半数以上省份净融资额同比缩量，</w:t>
      </w:r>
      <w:proofErr w:type="gramStart"/>
      <w:r>
        <w:rPr>
          <w:rFonts w:ascii="方正仿宋_GBK" w:eastAsia="方正仿宋_GBK" w:hAnsiTheme="minorHAnsi" w:cstheme="minorBidi" w:hint="eastAsia"/>
          <w:sz w:val="24"/>
          <w:szCs w:val="24"/>
        </w:rPr>
        <w:t>但宽信用</w:t>
      </w:r>
      <w:proofErr w:type="gramEnd"/>
      <w:r>
        <w:rPr>
          <w:rFonts w:ascii="方正仿宋_GBK" w:eastAsia="方正仿宋_GBK" w:hAnsiTheme="minorHAnsi" w:cstheme="minorBidi" w:hint="eastAsia"/>
          <w:sz w:val="24"/>
          <w:szCs w:val="24"/>
        </w:rPr>
        <w:t>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ascii="方正仿宋_GBK" w:eastAsia="方正仿宋_GBK" w:hAnsiTheme="minorHAnsi" w:cstheme="minorBidi" w:hint="eastAsia"/>
          <w:sz w:val="24"/>
          <w:szCs w:val="24"/>
        </w:rPr>
        <w:br w:type="textWrapping" w:clear="all"/>
        <w:t xml:space="preserve">    权益方面，2022年压制权益市场的负面因素较多，国内由于疫情防控、房地产调控导致经济衰退，国外通胀高企后流动性超预期收紧，叠加海外地缘</w:t>
      </w:r>
      <w:proofErr w:type="gramStart"/>
      <w:r>
        <w:rPr>
          <w:rFonts w:ascii="方正仿宋_GBK" w:eastAsia="方正仿宋_GBK" w:hAnsiTheme="minorHAnsi" w:cstheme="minorBidi" w:hint="eastAsia"/>
          <w:sz w:val="24"/>
          <w:szCs w:val="24"/>
        </w:rPr>
        <w:t>冲突等黑天鹅</w:t>
      </w:r>
      <w:proofErr w:type="gramEnd"/>
      <w:r>
        <w:rPr>
          <w:rFonts w:ascii="方正仿宋_GBK" w:eastAsia="方正仿宋_GBK" w:hAnsiTheme="minorHAnsi" w:cstheme="minorBidi" w:hint="eastAsia"/>
          <w:sz w:val="24"/>
          <w:szCs w:val="24"/>
        </w:rPr>
        <w:t>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w:t>
      </w:r>
      <w:proofErr w:type="gramStart"/>
      <w:r>
        <w:rPr>
          <w:rFonts w:ascii="方正仿宋_GBK" w:eastAsia="方正仿宋_GBK" w:hAnsiTheme="minorHAnsi" w:cstheme="minorBidi" w:hint="eastAsia"/>
          <w:sz w:val="24"/>
          <w:szCs w:val="24"/>
        </w:rPr>
        <w:t>新半军</w:t>
      </w:r>
      <w:proofErr w:type="gramEnd"/>
      <w:r>
        <w:rPr>
          <w:rFonts w:ascii="方正仿宋_GBK" w:eastAsia="方正仿宋_GBK" w:hAnsiTheme="minorHAnsi" w:cstheme="minorBidi" w:hint="eastAsia"/>
          <w:sz w:val="24"/>
          <w:szCs w:val="24"/>
        </w:rPr>
        <w:t>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偏防守，其中对于基金重仓的消费、新能源板块阶段性规避，对煤炭为代表的周期以及医药、</w:t>
      </w:r>
      <w:proofErr w:type="gramStart"/>
      <w:r>
        <w:rPr>
          <w:rFonts w:ascii="方正仿宋_GBK" w:eastAsia="方正仿宋_GBK" w:hAnsiTheme="minorHAnsi" w:cstheme="minorBidi" w:hint="eastAsia"/>
          <w:sz w:val="24"/>
          <w:szCs w:val="24"/>
        </w:rPr>
        <w:t>信创等</w:t>
      </w:r>
      <w:proofErr w:type="gramEnd"/>
      <w:r>
        <w:rPr>
          <w:rFonts w:ascii="方正仿宋_GBK" w:eastAsia="方正仿宋_GBK" w:hAnsiTheme="minorHAnsi" w:cstheme="minorBidi" w:hint="eastAsia"/>
          <w:sz w:val="24"/>
          <w:szCs w:val="24"/>
        </w:rPr>
        <w:t>板块择机超配，是全年超额收益的主要来源。四季度特别是11月以来，我们看到疫情防控、房地产调控政策出现了明显的转向，说明国家安全和经济发展是一体两面而</w:t>
      </w:r>
      <w:proofErr w:type="gramStart"/>
      <w:r>
        <w:rPr>
          <w:rFonts w:ascii="方正仿宋_GBK" w:eastAsia="方正仿宋_GBK" w:hAnsiTheme="minorHAnsi" w:cstheme="minorBidi" w:hint="eastAsia"/>
          <w:sz w:val="24"/>
          <w:szCs w:val="24"/>
        </w:rPr>
        <w:t>非左右互</w:t>
      </w:r>
      <w:proofErr w:type="gramEnd"/>
      <w:r>
        <w:rPr>
          <w:rFonts w:ascii="方正仿宋_GBK" w:eastAsia="方正仿宋_GBK" w:hAnsiTheme="minorHAnsi" w:cstheme="minorBidi" w:hint="eastAsia"/>
          <w:sz w:val="24"/>
          <w:szCs w:val="24"/>
        </w:rPr>
        <w:t>搏，叠加货币、财政政策可以预期的适度放松，而海外的通胀在高位徘徊后出现环比回落，加息收紧的节奏也</w:t>
      </w:r>
      <w:r>
        <w:rPr>
          <w:rFonts w:ascii="方正仿宋_GBK" w:eastAsia="方正仿宋_GBK" w:hAnsiTheme="minorHAnsi" w:cstheme="minorBidi" w:hint="eastAsia"/>
          <w:sz w:val="24"/>
          <w:szCs w:val="24"/>
        </w:rPr>
        <w:lastRenderedPageBreak/>
        <w:t>开始趋缓，整年压制权益市场的负面因素几乎都出现了缓解，同时目前股市估值对应的</w:t>
      </w:r>
      <w:proofErr w:type="gramStart"/>
      <w:r>
        <w:rPr>
          <w:rFonts w:ascii="方正仿宋_GBK" w:eastAsia="方正仿宋_GBK" w:hAnsiTheme="minorHAnsi" w:cstheme="minorBidi" w:hint="eastAsia"/>
          <w:sz w:val="24"/>
          <w:szCs w:val="24"/>
        </w:rPr>
        <w:t>股债性价</w:t>
      </w:r>
      <w:proofErr w:type="gramEnd"/>
      <w:r>
        <w:rPr>
          <w:rFonts w:ascii="方正仿宋_GBK" w:eastAsia="方正仿宋_GBK" w:hAnsiTheme="minorHAnsi" w:cstheme="minorBidi" w:hint="eastAsia"/>
          <w:sz w:val="24"/>
          <w:szCs w:val="24"/>
        </w:rPr>
        <w:t>比依然处于过去十年80%以上分位数，权益资产具备中长期配置的优势，产品将维持更为积极的权益</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，以应对经济复苏、流动性宽松的有利宏观组合。</w:t>
      </w:r>
    </w:p>
    <w:p w:rsidR="00B31DA4" w:rsidRDefault="007816A9" w:rsidP="0087228B">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产品投资的非标准化债权类资产到期日不晚于产品到期日，债券部分主要投向AA评级以上优质主体债券，权益持仓中维持合理比例高流动性资产，产品整体流动性风险可控。本产品提前做好关键时点资金储备，保障流动性安全，下阶段将继续控制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截至报告期末，本产品份额净值为1.0267元。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91.70%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94.23%</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2.77%</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8.30%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lastRenderedPageBreak/>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FA2385">
        <w:trPr>
          <w:trHeight w:val="583"/>
          <w:jc w:val="center"/>
        </w:trPr>
        <w:tc>
          <w:tcPr>
            <w:tcW w:w="751" w:type="dxa"/>
            <w:shd w:val="clear" w:color="auto" w:fill="auto"/>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22088018</w:t>
            </w:r>
          </w:p>
        </w:tc>
        <w:tc>
          <w:tcPr>
            <w:tcW w:w="2720"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22连云港徐圩</w:t>
            </w:r>
          </w:p>
        </w:tc>
        <w:tc>
          <w:tcPr>
            <w:tcW w:w="2058"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30,500,000.00</w:t>
            </w:r>
          </w:p>
        </w:tc>
        <w:tc>
          <w:tcPr>
            <w:tcW w:w="1812"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46.57</w:t>
            </w:r>
          </w:p>
        </w:tc>
      </w:tr>
      <w:tr w:rsidR="00FA2385">
        <w:trPr>
          <w:trHeight w:val="583"/>
          <w:jc w:val="center"/>
        </w:trPr>
        <w:tc>
          <w:tcPr>
            <w:tcW w:w="751" w:type="dxa"/>
            <w:shd w:val="clear" w:color="auto" w:fill="auto"/>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安利得51号</w:t>
            </w:r>
          </w:p>
        </w:tc>
        <w:tc>
          <w:tcPr>
            <w:tcW w:w="2058"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27,461,305.92</w:t>
            </w:r>
          </w:p>
        </w:tc>
        <w:tc>
          <w:tcPr>
            <w:tcW w:w="1812"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41.93</w:t>
            </w:r>
          </w:p>
        </w:tc>
      </w:tr>
      <w:tr w:rsidR="00FA2385">
        <w:trPr>
          <w:trHeight w:val="583"/>
          <w:jc w:val="center"/>
        </w:trPr>
        <w:tc>
          <w:tcPr>
            <w:tcW w:w="751" w:type="dxa"/>
            <w:shd w:val="clear" w:color="auto" w:fill="auto"/>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HHQTT202103300001</w:t>
            </w:r>
          </w:p>
        </w:tc>
        <w:tc>
          <w:tcPr>
            <w:tcW w:w="2720"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w:t>
            </w:r>
            <w:proofErr w:type="gramStart"/>
            <w:r>
              <w:rPr>
                <w:rFonts w:ascii="方正仿宋_GBK" w:eastAsia="方正仿宋_GBK" w:hAnsi="方正仿宋_GBK" w:cs="方正仿宋_GBK"/>
                <w:sz w:val="24"/>
              </w:rPr>
              <w:t>基金宁益1号</w:t>
            </w:r>
            <w:proofErr w:type="gramEnd"/>
            <w:r>
              <w:rPr>
                <w:rFonts w:ascii="方正仿宋_GBK" w:eastAsia="方正仿宋_GBK" w:hAnsi="方正仿宋_GBK" w:cs="方正仿宋_GBK"/>
                <w:sz w:val="24"/>
              </w:rPr>
              <w:t>集合资产管理计划</w:t>
            </w:r>
          </w:p>
        </w:tc>
        <w:tc>
          <w:tcPr>
            <w:tcW w:w="2058"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5,454,416.54</w:t>
            </w:r>
          </w:p>
        </w:tc>
        <w:tc>
          <w:tcPr>
            <w:tcW w:w="1812" w:type="dxa"/>
            <w:shd w:val="clear" w:color="000000" w:fill="FFFFFF"/>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8.33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FA2385">
        <w:trPr>
          <w:trHeight w:val="571"/>
          <w:jc w:val="center"/>
        </w:trPr>
        <w:tc>
          <w:tcPr>
            <w:tcW w:w="877"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连云港徐圩港口投资集团有限公司</w:t>
            </w:r>
          </w:p>
        </w:tc>
        <w:tc>
          <w:tcPr>
            <w:tcW w:w="1275"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22连云港徐圩01</w:t>
            </w:r>
          </w:p>
        </w:tc>
        <w:tc>
          <w:tcPr>
            <w:tcW w:w="1540"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372</w:t>
            </w:r>
          </w:p>
        </w:tc>
        <w:tc>
          <w:tcPr>
            <w:tcW w:w="1383"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按年付息，到期还本</w:t>
            </w:r>
          </w:p>
        </w:tc>
        <w:tc>
          <w:tcPr>
            <w:tcW w:w="1271"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A2385" w:rsidRDefault="00754F3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FA2385">
        <w:trPr>
          <w:trHeight w:val="584"/>
          <w:jc w:val="center"/>
        </w:trPr>
        <w:tc>
          <w:tcPr>
            <w:tcW w:w="846" w:type="dxa"/>
            <w:vAlign w:val="center"/>
          </w:tcPr>
          <w:p w:rsidR="00FA2385" w:rsidRDefault="00754F3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FA2385" w:rsidRDefault="00754F3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FA2385" w:rsidRDefault="00754F3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0120020000000723</w:t>
            </w:r>
          </w:p>
        </w:tc>
        <w:tc>
          <w:tcPr>
            <w:tcW w:w="1983" w:type="dxa"/>
            <w:vAlign w:val="center"/>
          </w:tcPr>
          <w:p w:rsidR="00FA2385" w:rsidRDefault="00754F37">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南银理财鑫逸稳增强</w:t>
            </w:r>
            <w:proofErr w:type="gramEnd"/>
            <w:r>
              <w:rPr>
                <w:rFonts w:ascii="方正仿宋_GBK" w:eastAsia="方正仿宋_GBK" w:hAnsi="方正仿宋_GBK" w:cs="方正仿宋_GBK"/>
                <w:sz w:val="24"/>
              </w:rPr>
              <w:t>两年7期</w:t>
            </w:r>
          </w:p>
        </w:tc>
        <w:tc>
          <w:tcPr>
            <w:tcW w:w="1988" w:type="dxa"/>
            <w:vAlign w:val="center"/>
          </w:tcPr>
          <w:p w:rsidR="00FA2385" w:rsidRDefault="00754F3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产品应支付关联方托管费3,303.30元，应支付关联方代销费</w:t>
      </w:r>
      <w:r w:rsidR="00735F94">
        <w:rPr>
          <w:rFonts w:ascii="方正仿宋_GBK" w:eastAsia="方正仿宋_GBK" w:hAnsiTheme="minorHAnsi" w:cstheme="minorBidi" w:hint="eastAsia"/>
          <w:sz w:val="24"/>
          <w:szCs w:val="24"/>
        </w:rPr>
        <w:t>35,705.82</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70F" w:rsidRDefault="0057570F">
      <w:pPr>
        <w:spacing w:after="72"/>
      </w:pPr>
      <w:r>
        <w:separator/>
      </w:r>
    </w:p>
  </w:endnote>
  <w:endnote w:type="continuationSeparator" w:id="0">
    <w:p w:rsidR="0057570F" w:rsidRDefault="0057570F">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70F" w:rsidRDefault="0057570F">
      <w:pPr>
        <w:spacing w:after="72"/>
      </w:pPr>
      <w:r>
        <w:separator/>
      </w:r>
    </w:p>
  </w:footnote>
  <w:footnote w:type="continuationSeparator" w:id="0">
    <w:p w:rsidR="0057570F" w:rsidRDefault="0057570F">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7205D"/>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7570F"/>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54F37"/>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228B"/>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2385"/>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461</Words>
  <Characters>2632</Characters>
  <Application>Microsoft Office Word</Application>
  <DocSecurity>0</DocSecurity>
  <Lines>21</Lines>
  <Paragraphs>6</Paragraphs>
  <ScaleCrop>false</ScaleCrop>
  <Company>cc</Company>
  <LinksUpToDate>false</LinksUpToDate>
  <CharactersWithSpaces>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