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南银理财珠联璧合致远平衡ESG主题（最低持有364天）公募人民币理财产品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南银理财珠联璧合致远平衡ESG主题（最低持有364天）公募人民币理财产品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Z7003221000170（投资者可依据该编码在中国理财网www.chinawealth.com.cn查询理财产品相关信息）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2021年12月29日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903,246,403.43份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工银瑞信基金管理有限公司、中信期货有限公司、富国基金管理有限公司、鑫元基金管理有限公司、建信基金管理有限责任公司、交银施罗德基金管理有限公司、华宝基金管理有限公司、广发基金管理有限公司、华泰柏瑞基金管理有限公司、招商基金管理有限公司、中银基金管理有限公司、中欧基金管理有限公司、平安基金管理有限公司、易方达基金管理有限公司、国投瑞银基金管理有限公司、安信基金管理有限责任公司、万家基金管理有限公司、南方基金管理股份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Z99001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856,934,593.88</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0.9487</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0.9487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Z99002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2,954.34</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0.9511</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0.9511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Z99001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Z99002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-0.51%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w:t>
      </w:r>
      <w:r>
        <w:rPr>
          <w:rFonts w:hint="eastAsia" w:ascii="方正仿宋_GBK" w:eastAsia="方正仿宋_GBK"/>
          <w:sz w:val="24"/>
          <w:szCs w:val="24"/>
        </w:rPr>
        <w:br w:type="textWrapping" w:clear="all"/>
      </w:r>
      <w:r>
        <w:rPr>
          <w:rFonts w:hint="eastAsia" w:ascii="方正仿宋_GBK" w:eastAsia="方正仿宋_GBK"/>
          <w:sz w:val="24"/>
          <w:szCs w:val="24"/>
        </w:rPr>
        <w:t xml:space="preserve">    权益部分在总体均衡配置的基础上，也对部分行业做了针对性的操作，其中对于基金重仓的消费、新能源板块阶段性规避，同时对医药、信创等板块择机超配。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w:t>
      </w:r>
      <w:bookmarkStart w:id="0" w:name="_GoBack"/>
      <w:bookmarkEnd w:id="0"/>
      <w:r>
        <w:rPr>
          <w:rFonts w:hint="eastAsia" w:ascii="方正仿宋_GBK" w:eastAsia="方正仿宋_GBK"/>
          <w:sz w:val="24"/>
          <w:szCs w:val="24"/>
        </w:rPr>
        <w:t>产具备中长期配置的优势，产品将维持更为积极的权益仓位，以应对经济复苏、流动性宽松的有利宏观组合。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产品持仓中维持合理比例高流动性资产，提前做好关键时点资金储备，流动性状况较好。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截至报告期末，本产品Z99001份额净值为0.9487元，Z99002份额净值为0.9511元。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66.94%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68.98%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9.22%</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13.33%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23.84%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17.69%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ZJQTT202202230001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鑫元基金-鑫安利得59号集合资产管理计划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211,341,962.82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HHQTT202201060001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中信期货价值精粹6号集合资产管理计划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50,383,803.83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5.88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001515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平安新鑫先锋混合C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26,752,916.23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3.12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000308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建信创新中国混合</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25,569,836.66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015652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国投瑞银瑞利混合(LOF)C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22,274,793.75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20,166,184.29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019666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20,000,540.00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ZJQTT202101180001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易方达基金鸿鹤1号集合资产管理计划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19,840,629.80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185968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22首城02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19,269,800.00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014597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华泰柏瑞富利混合C</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18,695,606.60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0120070000000725</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南银理财致远平衡ESG主题</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产品投资关联方作为管理人的资产管理产品交易金额30,000,000.00元。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产品应支付关联方托管费47,426.80元，应支付关联方代销费895,501.98元。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6F5156D"/>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3395</Words>
  <Characters>3998</Characters>
  <Lines>16</Lines>
  <Paragraphs>4</Paragraphs>
  <TotalTime>23</TotalTime>
  <ScaleCrop>false</ScaleCrop>
  <LinksUpToDate>false</LinksUpToDate>
  <CharactersWithSpaces>4050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2023-01-16T09:02:30Z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