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南银理财珠联璧合悦稳（最低持有91天）公募人民币理财产品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南银理财珠联璧合悦稳（最低持有91天）公募人民币理财产品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Z7003222000021（投资者可依据该编码在中国理财网www.chinawealth.com.cn查询理财产品相关信息）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2022年03月30日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2,246,300,359.87份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江苏省国际信托有限责任公司、上海光大证券资产管理有限公司、鑫沅资产管理有限公司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A32001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1,268,352,871.84</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1.0111</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1.0111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A32002</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1,003,839,539.11</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1.0119</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1.0119</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9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A32001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A32002</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-2.38%</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产品操作稳健中性，投资标的兼顾票息与流动性，并在保证产品流动性安全和资金成本可控的情况下，适当运用杠杆增厚收益。在四季度期间，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当前市场整体缺乏明确方向性，后续操作上产品将</w:t>
      </w:r>
      <w:bookmarkStart w:id="0" w:name="_GoBack"/>
      <w:bookmarkEnd w:id="0"/>
      <w:r>
        <w:rPr>
          <w:rFonts w:hint="eastAsia" w:ascii="方正仿宋_GBK" w:eastAsia="方正仿宋_GBK"/>
          <w:sz w:val="24"/>
          <w:szCs w:val="24"/>
        </w:rPr>
        <w:t>以中性策略应对，保持进退空间。</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当前市场资金面合理充裕，产品坚持稳健操作，维持合理的流动性水平。后续将紧密跟踪、研判市场变化，优化产品资产负债结构，设置合理的杠杆水平，防范产品流动性风险。</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截至报告期末，本产品A32001份额净值为1.0111元，A32002份额净值为1.0119元。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ZJQTT202204260021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江苏信托南银1号集合资金信托计划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1,096,903,627.22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48.28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ZJQTT202111100001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鑫沅资产金梅花631号集合资产管理计划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559,882,163.87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24.64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019679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22国债14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149,895,000.00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ZJQTT202204150001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光证资管诚享38号集合资产管理计划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91,253,669.34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XJCKX202212020001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农业银行活期存款</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50,004,222.23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182441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22绍兴01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167855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20宜经02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20,439,800.00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0.90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178714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21太湖02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20,339,400.00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0.90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194381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22兴川01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0.88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194630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22家园02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20,000,000.00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0.88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0120080000000782</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南银理财悦稳最低持有91天</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产品与关联方作为交易对手开展的投融资业务交易金额20,187,419.18元。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产品投资关联方作为管理人的资产管理产品交易金额300,000,000.00元。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产品应支付关联方托管费175,914.77元，应支付关联方代销费1,087,507.41元。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0B91460"/>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2663</Words>
  <Characters>3297</Characters>
  <Lines>16</Lines>
  <Paragraphs>4</Paragraphs>
  <TotalTime>23</TotalTime>
  <ScaleCrop>false</ScaleCrop>
  <LinksUpToDate>false</LinksUpToDate>
  <CharactersWithSpaces>3349</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2023-01-16T09:03:54Z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