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鑫逸稳增强</w:t>
      </w:r>
      <w:proofErr w:type="gramEnd"/>
      <w:r>
        <w:rPr>
          <w:rFonts w:ascii="方正黑体_GBK" w:eastAsia="方正黑体_GBK" w:hint="eastAsia"/>
          <w:sz w:val="36"/>
          <w:szCs w:val="36"/>
        </w:rPr>
        <w:t>两年14期封闭式公募人民币理财产品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3705FE">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鑫逸稳增强</w:t>
            </w:r>
            <w:proofErr w:type="gramEnd"/>
            <w:r>
              <w:rPr>
                <w:rFonts w:ascii="方正仿宋_GBK" w:eastAsia="方正仿宋_GBK" w:hAnsi="仿宋_GB2312" w:cs="仿宋_GB2312" w:hint="eastAsia"/>
                <w:sz w:val="24"/>
                <w:szCs w:val="24"/>
              </w:rPr>
              <w:t>两年14期封闭式公募人民币理财产品</w:t>
            </w:r>
          </w:p>
        </w:tc>
      </w:tr>
      <w:tr w:rsidR="00B31DA4" w:rsidTr="003705FE">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Z7003222000038（投资者可依据该编码在中国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3705FE">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705FE">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2022年06月15日</w:t>
            </w:r>
          </w:p>
        </w:tc>
      </w:tr>
      <w:tr w:rsidR="00B31DA4" w:rsidTr="003705FE">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175,848,568.00份</w:t>
            </w:r>
          </w:p>
        </w:tc>
      </w:tr>
      <w:tr w:rsidR="00B31DA4" w:rsidTr="003705FE">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华夏基金管理有限公司、景顺长城基金管理有限公司、招商基金管理有限公司、易方达基金管理有限公司</w:t>
            </w:r>
          </w:p>
        </w:tc>
      </w:tr>
      <w:tr w:rsidR="00B31DA4" w:rsidTr="003705FE">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705FE">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EF60BA">
        <w:trPr>
          <w:trHeight w:val="565"/>
          <w:jc w:val="center"/>
        </w:trPr>
        <w:tc>
          <w:tcPr>
            <w:tcW w:w="1838"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Y40014</w:t>
            </w:r>
          </w:p>
        </w:tc>
        <w:tc>
          <w:tcPr>
            <w:tcW w:w="2693"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176,964,013.55</w:t>
            </w:r>
          </w:p>
        </w:tc>
        <w:tc>
          <w:tcPr>
            <w:tcW w:w="2410"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1.0063</w:t>
            </w:r>
          </w:p>
        </w:tc>
        <w:tc>
          <w:tcPr>
            <w:tcW w:w="2126"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1.0063</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F91FFB" w:rsidRDefault="007816A9" w:rsidP="00F91FFB">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w:t>
      </w:r>
      <w:r>
        <w:rPr>
          <w:rFonts w:ascii="方正仿宋_GBK" w:eastAsia="方正仿宋_GBK" w:hAnsiTheme="minorHAnsi" w:cstheme="minorBidi" w:hint="eastAsia"/>
          <w:sz w:val="24"/>
          <w:szCs w:val="24"/>
        </w:rPr>
        <w:br w:type="textWrapping" w:clear="all"/>
        <w:t xml:space="preserve">    债券市场方面，重点关注债市赎回压力边际改善下的短端配置价值。随着央行加大公开市场操作呵护资金面，叠加部分银行自营资金承接，债市抛压逐步缓解，跨年前后债市也明显反弹修复。展望后续，经济弱现实的支撑下资金面有望保持宽松，随着理财赎回压力逐步缓解，债券资产有望回归基本面迎来修复，本轮快速调整后信用债性价比明显抬升，尤其是短端品种具有较高配置价值，资金面宽松下套息空间也较为充足，预计中短端高等级信用债表现占优，本产品负债端相对稳定，将择低保持配置，目前固收部分债券的静态估值在4%-4.5%，久期平均控制在1.5年左右，未来债券资产持有到期收益较为可观。</w:t>
      </w:r>
      <w:r>
        <w:rPr>
          <w:rFonts w:ascii="方正仿宋_GBK" w:eastAsia="方正仿宋_GBK" w:hAnsiTheme="minorHAnsi" w:cstheme="minorBidi" w:hint="eastAsia"/>
          <w:sz w:val="24"/>
          <w:szCs w:val="24"/>
        </w:rPr>
        <w:br w:type="textWrapping" w:clear="all"/>
        <w:t xml:space="preserve">    本产品投资的非标准化债权类资产底层主要为江浙地区优质城投企业。截至2022年末，本产品所投非标准化债权类资产的融资人还本付息情况良好，再融资及各项经营活动正常。受银保监会15号文持续约束，城投平台借款增速同比下降；同时今年以来涉隐债主体基本只允许借新还旧，使得半数以上省份净融资额同比缩量，但宽信用加码</w:t>
      </w:r>
      <w:r>
        <w:rPr>
          <w:rFonts w:ascii="方正仿宋_GBK" w:eastAsia="方正仿宋_GBK" w:hAnsiTheme="minorHAnsi" w:cstheme="minorBidi" w:hint="eastAsia"/>
          <w:sz w:val="24"/>
          <w:szCs w:val="24"/>
        </w:rPr>
        <w:lastRenderedPageBreak/>
        <w:t>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ascii="方正仿宋_GBK" w:eastAsia="方正仿宋_GBK" w:hAnsiTheme="minorHAnsi" w:cstheme="minorBidi" w:hint="eastAsia"/>
          <w:sz w:val="24"/>
          <w:szCs w:val="24"/>
        </w:rPr>
        <w:br w:type="textWrapping" w:clear="all"/>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w:t>
      </w:r>
    </w:p>
    <w:p w:rsidR="00B31DA4" w:rsidRDefault="007816A9" w:rsidP="00F91FFB">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lastRenderedPageBreak/>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本产品投资的非标准化债权类资产到期日不晚于产品到期日，债券部分主要投向AA+及以上的</w:t>
      </w:r>
      <w:proofErr w:type="gramStart"/>
      <w:r>
        <w:rPr>
          <w:rFonts w:ascii="方正仿宋_GBK" w:eastAsia="方正仿宋_GBK" w:hAnsiTheme="minorHAnsi" w:cstheme="minorBidi"/>
          <w:sz w:val="24"/>
          <w:szCs w:val="24"/>
        </w:rPr>
        <w:t>优质产业</w:t>
      </w:r>
      <w:proofErr w:type="gramEnd"/>
      <w:r>
        <w:rPr>
          <w:rFonts w:ascii="方正仿宋_GBK" w:eastAsia="方正仿宋_GBK" w:hAnsiTheme="minorHAnsi" w:cstheme="minorBidi"/>
          <w:sz w:val="24"/>
          <w:szCs w:val="24"/>
        </w:rPr>
        <w:t>债券和城投债券，权益持仓中维持合理比例高流动性资产，产品整体流动性风险可控。本产品提前做好关键时点资金储备，保障流动性安全，下阶段将继续控制流动性风险。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截至报告期末，本产品份额净值为1.0063元。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90.92%</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92.16%</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4.85%</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9.08%</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2.99%</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EF60BA">
        <w:trPr>
          <w:trHeight w:val="583"/>
          <w:jc w:val="center"/>
        </w:trPr>
        <w:tc>
          <w:tcPr>
            <w:tcW w:w="751"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22088844</w:t>
            </w:r>
          </w:p>
        </w:tc>
        <w:tc>
          <w:tcPr>
            <w:tcW w:w="2720"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22兴化城投01</w:t>
            </w:r>
          </w:p>
        </w:tc>
        <w:tc>
          <w:tcPr>
            <w:tcW w:w="2058"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83,000,000.00</w:t>
            </w:r>
          </w:p>
        </w:tc>
        <w:tc>
          <w:tcPr>
            <w:tcW w:w="1812"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46.90</w:t>
            </w:r>
          </w:p>
        </w:tc>
      </w:tr>
      <w:tr w:rsidR="00EF60BA">
        <w:trPr>
          <w:trHeight w:val="583"/>
          <w:jc w:val="center"/>
        </w:trPr>
        <w:tc>
          <w:tcPr>
            <w:tcW w:w="751"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ZJQTT202112280001</w:t>
            </w:r>
          </w:p>
        </w:tc>
        <w:tc>
          <w:tcPr>
            <w:tcW w:w="2720"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景顺长城南</w:t>
            </w:r>
            <w:proofErr w:type="gramStart"/>
            <w:r>
              <w:rPr>
                <w:rFonts w:ascii="方正仿宋_GBK" w:eastAsia="方正仿宋_GBK" w:hAnsi="方正仿宋_GBK" w:cs="方正仿宋_GBK"/>
                <w:sz w:val="24"/>
              </w:rPr>
              <w:t>景悦享</w:t>
            </w:r>
            <w:proofErr w:type="gramEnd"/>
            <w:r>
              <w:rPr>
                <w:rFonts w:ascii="方正仿宋_GBK" w:eastAsia="方正仿宋_GBK" w:hAnsi="方正仿宋_GBK" w:cs="方正仿宋_GBK"/>
                <w:sz w:val="24"/>
              </w:rPr>
              <w:t>1号集合资产管理计划</w:t>
            </w:r>
          </w:p>
        </w:tc>
        <w:tc>
          <w:tcPr>
            <w:tcW w:w="2058"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35,020,590.25</w:t>
            </w:r>
          </w:p>
        </w:tc>
        <w:tc>
          <w:tcPr>
            <w:tcW w:w="1812"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19.79</w:t>
            </w:r>
          </w:p>
        </w:tc>
      </w:tr>
      <w:tr w:rsidR="00EF60BA">
        <w:trPr>
          <w:trHeight w:val="583"/>
          <w:jc w:val="center"/>
        </w:trPr>
        <w:tc>
          <w:tcPr>
            <w:tcW w:w="751"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ZJQTT202203210001</w:t>
            </w:r>
          </w:p>
        </w:tc>
        <w:tc>
          <w:tcPr>
            <w:tcW w:w="2720"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招商基金-安鑫1号集合资产管理计划</w:t>
            </w:r>
          </w:p>
        </w:tc>
        <w:tc>
          <w:tcPr>
            <w:tcW w:w="2058"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19,974,869.51</w:t>
            </w:r>
          </w:p>
        </w:tc>
        <w:tc>
          <w:tcPr>
            <w:tcW w:w="1812"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11.29</w:t>
            </w:r>
          </w:p>
        </w:tc>
      </w:tr>
      <w:tr w:rsidR="00EF60BA">
        <w:trPr>
          <w:trHeight w:val="583"/>
          <w:jc w:val="center"/>
        </w:trPr>
        <w:tc>
          <w:tcPr>
            <w:tcW w:w="751"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ZJQTT202101180001</w:t>
            </w:r>
          </w:p>
        </w:tc>
        <w:tc>
          <w:tcPr>
            <w:tcW w:w="2720"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易方达基金鸿鹤1号集合资产管理计划</w:t>
            </w:r>
          </w:p>
        </w:tc>
        <w:tc>
          <w:tcPr>
            <w:tcW w:w="2058"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19,972,939.02</w:t>
            </w:r>
          </w:p>
        </w:tc>
        <w:tc>
          <w:tcPr>
            <w:tcW w:w="1812"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11.29</w:t>
            </w:r>
          </w:p>
        </w:tc>
      </w:tr>
      <w:tr w:rsidR="00EF60BA">
        <w:trPr>
          <w:trHeight w:val="583"/>
          <w:jc w:val="center"/>
        </w:trPr>
        <w:tc>
          <w:tcPr>
            <w:tcW w:w="751"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HHQTT202103300001</w:t>
            </w:r>
          </w:p>
        </w:tc>
        <w:tc>
          <w:tcPr>
            <w:tcW w:w="2720"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w:t>
            </w:r>
            <w:proofErr w:type="gramStart"/>
            <w:r>
              <w:rPr>
                <w:rFonts w:ascii="方正仿宋_GBK" w:eastAsia="方正仿宋_GBK" w:hAnsi="方正仿宋_GBK" w:cs="方正仿宋_GBK"/>
                <w:sz w:val="24"/>
              </w:rPr>
              <w:t>基金宁益1号</w:t>
            </w:r>
            <w:proofErr w:type="gramEnd"/>
            <w:r>
              <w:rPr>
                <w:rFonts w:ascii="方正仿宋_GBK" w:eastAsia="方正仿宋_GBK" w:hAnsi="方正仿宋_GBK" w:cs="方正仿宋_GBK"/>
                <w:sz w:val="24"/>
              </w:rPr>
              <w:t>集合资产管理计划</w:t>
            </w:r>
          </w:p>
        </w:tc>
        <w:tc>
          <w:tcPr>
            <w:tcW w:w="2058"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16,095,627.83</w:t>
            </w:r>
          </w:p>
        </w:tc>
        <w:tc>
          <w:tcPr>
            <w:tcW w:w="1812" w:type="dxa"/>
            <w:shd w:val="clear" w:color="000000" w:fill="FFFFFF"/>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9.10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lastRenderedPageBreak/>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EF60BA">
        <w:trPr>
          <w:trHeight w:val="571"/>
          <w:jc w:val="center"/>
        </w:trPr>
        <w:tc>
          <w:tcPr>
            <w:tcW w:w="877"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兴化市城市建设投资有限公司</w:t>
            </w:r>
          </w:p>
        </w:tc>
        <w:tc>
          <w:tcPr>
            <w:tcW w:w="1275"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22兴化城投01</w:t>
            </w:r>
          </w:p>
        </w:tc>
        <w:tc>
          <w:tcPr>
            <w:tcW w:w="1540"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546</w:t>
            </w:r>
          </w:p>
        </w:tc>
        <w:tc>
          <w:tcPr>
            <w:tcW w:w="1383"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EF60BA" w:rsidRDefault="003705FE">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EF60BA">
        <w:trPr>
          <w:trHeight w:val="584"/>
          <w:jc w:val="center"/>
        </w:trPr>
        <w:tc>
          <w:tcPr>
            <w:tcW w:w="846" w:type="dxa"/>
            <w:vAlign w:val="center"/>
          </w:tcPr>
          <w:p w:rsidR="00EF60BA" w:rsidRDefault="003705F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EF60BA" w:rsidRDefault="003705F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EF60BA" w:rsidRDefault="003705F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0120060000000839</w:t>
            </w:r>
          </w:p>
        </w:tc>
        <w:tc>
          <w:tcPr>
            <w:tcW w:w="1983" w:type="dxa"/>
            <w:vAlign w:val="center"/>
          </w:tcPr>
          <w:p w:rsidR="00EF60BA" w:rsidRDefault="003705FE">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南银理财鑫逸稳增强</w:t>
            </w:r>
            <w:proofErr w:type="gramEnd"/>
            <w:r>
              <w:rPr>
                <w:rFonts w:ascii="方正仿宋_GBK" w:eastAsia="方正仿宋_GBK" w:hAnsi="方正仿宋_GBK" w:cs="方正仿宋_GBK"/>
                <w:sz w:val="24"/>
              </w:rPr>
              <w:t>两年14期</w:t>
            </w:r>
          </w:p>
        </w:tc>
        <w:tc>
          <w:tcPr>
            <w:tcW w:w="1988" w:type="dxa"/>
            <w:vAlign w:val="center"/>
          </w:tcPr>
          <w:p w:rsidR="00EF60BA" w:rsidRDefault="003705FE">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lastRenderedPageBreak/>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产品应支付关联方托管费8,944.40元，应支付关联方代销费</w:t>
      </w:r>
      <w:r w:rsidR="00735F94">
        <w:rPr>
          <w:rFonts w:ascii="方正仿宋_GBK" w:eastAsia="方正仿宋_GBK" w:hAnsiTheme="minorHAnsi" w:cstheme="minorBidi" w:hint="eastAsia"/>
          <w:sz w:val="24"/>
          <w:szCs w:val="24"/>
        </w:rPr>
        <w:t>70,197.47</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17D" w:rsidRDefault="00DC317D">
      <w:pPr>
        <w:spacing w:after="72"/>
      </w:pPr>
      <w:r>
        <w:separator/>
      </w:r>
    </w:p>
  </w:endnote>
  <w:endnote w:type="continuationSeparator" w:id="0">
    <w:p w:rsidR="00DC317D" w:rsidRDefault="00DC317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17D" w:rsidRDefault="00DC317D">
      <w:pPr>
        <w:spacing w:after="72"/>
      </w:pPr>
      <w:r>
        <w:separator/>
      </w:r>
    </w:p>
  </w:footnote>
  <w:footnote w:type="continuationSeparator" w:id="0">
    <w:p w:rsidR="00DC317D" w:rsidRDefault="00DC317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05F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C317D"/>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0BA"/>
    <w:rsid w:val="00EF651B"/>
    <w:rsid w:val="00F02F01"/>
    <w:rsid w:val="00F11AF8"/>
    <w:rsid w:val="00F12482"/>
    <w:rsid w:val="00F35159"/>
    <w:rsid w:val="00F4518F"/>
    <w:rsid w:val="00F62D3E"/>
    <w:rsid w:val="00F81FB3"/>
    <w:rsid w:val="00F91E69"/>
    <w:rsid w:val="00F91FFB"/>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467</Words>
  <Characters>2668</Characters>
  <Application>Microsoft Office Word</Application>
  <DocSecurity>0</DocSecurity>
  <Lines>22</Lines>
  <Paragraphs>6</Paragraphs>
  <ScaleCrop>false</ScaleCrop>
  <Company>cc</Company>
  <LinksUpToDate>false</LinksUpToDate>
  <CharactersWithSpaces>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2023-01-13T08:53:00Z</dcterms:created>
  <dcterms:modified xsi:type="dcterms:W3CDTF">2023-01-13T11:06:00Z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