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南银理财珠联璧合增瑞明远两年定开2022第1期公募人民币理财产品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南银理财珠联璧合增瑞明远两年定开2022第1期公募人民币理财产品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2022年07月06日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27,049,761.00份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景顺长城基金管理有限公司、易方达基金管理有限公司、华夏基金管理有限公司、招商基金管理有限公司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Z20012</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27,089,304.44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1.0014</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1.0014</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358"/>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债券市场方面，重点关注债市赎回压力边际改善下的短端配置价值。随着央行加大公开市场操作呵护资金面，叠加部分银行自营资金承接，债市抛压逐步缓解，跨年前后债市也明显反弹修复。展望后续，经济弱现实的支撑下资金面有望保持宽松，随着理财赎回压力逐步缓解，债券资产有望回归基本面迎来修复，本轮快速调整后信用债性价比明显抬升，尤其是短端品种具有较高配置价值，资金面宽松下套息空间也较为充足，预计中短端高等级信用债表现占优，本产品负债端相对稳定，将择低保持配置，目前固收部分债券的静态估值在4%-4.5%，久期平均控制在1.5年左右，未来债券资产持有到期收益较为可观。</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w:t>
      </w:r>
      <w:bookmarkStart w:id="0" w:name="_GoBack"/>
      <w:bookmarkEnd w:id="0"/>
      <w:r>
        <w:rPr>
          <w:rFonts w:hint="eastAsia" w:ascii="方正仿宋_GBK" w:eastAsia="方正仿宋_GBK" w:hAnsiTheme="minorHAnsi" w:cstheme="minorBidi"/>
          <w:sz w:val="24"/>
          <w:szCs w:val="24"/>
        </w:rPr>
        <w:t>十年80%以上分位数，权益资产具备中长期配置的优势，产品将维持更为积极的权益仓位，以应对经济复苏、流动性宽松的有利宏观组合。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投资的非标准化债权类资产到期日不晚于产品到期日，债券部分主要投向AA+及以上的优质产业债券和城投债券，权益持仓中维持合理比例高流动性资产，产品整体流动性风险可控。本产品提前做好关键时点资金储备，保障流动性安全，下阶段将继续控制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86.38%</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89.64%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13.62%</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22阜宁城发02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12,991,685.30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ZJQTT202112280001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景顺长城南景悦享1号集合资产管理计划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4,980,478.28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HHQTT202103300001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华夏基金宁益1号集合资产管理计划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3,692,526.38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ZJQTT202203210001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招商基金-安鑫1号集合资产管理计划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2,504,848.25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ZJQTT202101180001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易方达基金鸿鹤1号集合资产管理计划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2,474,140.41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阜宁县城市发展投资集团有限公司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22阜宁城发02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0120080000000862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南银理财增瑞两年定开2022第1期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产品应支付关联方托管费1,369.69元，应支付关联方代销费13,697.50元。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 w:val="70C2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8</Pages>
  <Words>3858</Words>
  <Characters>4282</Characters>
  <Lines>14</Lines>
  <Paragraphs>4</Paragraphs>
  <TotalTime>36</TotalTime>
  <ScaleCrop>false</ScaleCrop>
  <LinksUpToDate>false</LinksUpToDate>
  <CharactersWithSpaces>4335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2023-01-13T11:28:27Z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