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南银理财珠联璧合财富牛（最低持有280天）公募人民币理财产品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南银理财珠联璧合财富牛（最低持有280天）公募人民币理财产品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Z7003222000047（投资者可依据该编码在中国理财网www.chinawealth.com.cn查询理财产品相关信息）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2022年07月13日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28,704,558.55份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鑫沅资产管理有限公司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Z70009</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28,700,331.42</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0.9998</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0.9998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Z70010</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998.19</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0.9981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0.9981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Z70009</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Z70010</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债券方面，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w:t>
      </w:r>
      <w:bookmarkStart w:id="0" w:name="_GoBack"/>
      <w:bookmarkEnd w:id="0"/>
      <w:r>
        <w:rPr>
          <w:rFonts w:hint="eastAsia" w:ascii="方正仿宋_GBK" w:eastAsia="方正仿宋_GBK"/>
          <w:sz w:val="24"/>
          <w:szCs w:val="24"/>
        </w:rPr>
        <w:t>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对震荡行情，保持进退空间，静待政策及市场逐步明朗。</w:t>
      </w:r>
      <w:r>
        <w:rPr>
          <w:rFonts w:hint="eastAsia" w:ascii="方正仿宋_GBK" w:eastAsia="方正仿宋_GBK"/>
          <w:sz w:val="24"/>
          <w:szCs w:val="24"/>
        </w:rPr>
        <w:br w:type="textWrapping" w:clear="all"/>
      </w:r>
      <w:r>
        <w:rPr>
          <w:rFonts w:hint="eastAsia" w:ascii="方正仿宋_GBK" w:eastAsia="方正仿宋_GBK"/>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本产品配置较高比例的存单和政策性金融债等高流动性资产,整体流动性风险可控。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截至报告期末，本产品Z70009份额净值为0.9998元，Z70010份额净值为0.9981元。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鑫沅资产金梅花141号集合资产管理计划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26,684,243.36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92.97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0120060000000863</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南银理财财富牛最低持有280天</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产品投资关联方作为管理人的资产管理产品交易金额3,500,000.00元。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产品应支付关联方托管费1,408.93元，应支付关联方代销费10,565.13元。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36E802FF"/>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3478</Words>
  <Characters>3878</Characters>
  <Lines>16</Lines>
  <Paragraphs>4</Paragraphs>
  <TotalTime>24</TotalTime>
  <ScaleCrop>false</ScaleCrop>
  <LinksUpToDate>false</LinksUpToDate>
  <CharactersWithSpaces>3942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2023-01-16T09:07:18Z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