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南银理财珠联璧合鑫逸稳增强两年17期封闭式公募人民币理财产品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南银理财珠联璧合鑫逸稳增强两年17期封闭式公募人民币理财产品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Z7003222000055（投资者可依据该编码在中国理财网www.chinawealth.com.cn查询理财产品相关信息）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2022年08月17日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227,930,633.00份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易方达基金管理有限公司、平安资产管理有限责任公司、招商基金管理有限公司、华夏基金管理有限公司、万家基金管理有限公司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Y40017</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226,579,442.43</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0.9940</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0.9940</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债券市场方面，重点关注债市赎回压力边际改善下的短端配置价值。随着央行加大公开市场操作呵护资金面，叠加部分银行自营资金承接，债市抛压逐步缓解，跨年前后债市也明显反弹修复。展望后续，经济弱现实的支撑下资金面有望保持宽松，随着理财赎回压力逐步缓解，债券资产有望回归基本面迎来修复，本轮快速调整后信用债性价比明显抬升，尤其是短端品种具有较高配置价值，资金面宽松下套息空间也较为充足，预计中短端高等级信用债表现占优，本产品负债端相对稳定，将择低保持配置，目前固收部分债券的静态估值在4%-4.5%，久期平均控制在1.5年左右，未来债券资产持有到期收益较为可观。</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本产品投资的非标准化债权类资产底层主要为江浙地区优质城投企业。截至2022年末，本产品所投非标准化债权类资产的融资人还本付息情况良好，再融资及各项经营活动正常。受银保监会15号文持续约束，城投平台借款增速同比下降；同时今年以来涉隐债主体基本只允许借新还旧，使得半数以上省份净融资额同比缩量，但宽信用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w:t>
      </w:r>
      <w:bookmarkStart w:id="0" w:name="_GoBack"/>
      <w:bookmarkEnd w:id="0"/>
      <w:r>
        <w:rPr>
          <w:rFonts w:hint="eastAsia" w:ascii="方正仿宋_GBK" w:eastAsia="方正仿宋_GBK" w:hAnsiTheme="minorHAnsi" w:cstheme="minorBidi"/>
          <w:sz w:val="24"/>
          <w:szCs w:val="24"/>
        </w:rPr>
        <w:t>积极的权益仓位，以应对经济复苏、流动性宽松的有利宏观组合。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产品投资的非标准化债权类资产到期日不晚于产品到期日，债券部分主要投向AA+及以上的优质产业债券和城投债券，权益持仓中维持合理比例高流动性资产，产品整体流动性风险可控。本产品提前做好关键时点资金储备，保障流动性安全，下阶段将继续控制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截至报告期末，本产品份额净值为0.9940元。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90.71%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91.63%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9.29%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3.34%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22881113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22安吉交投03</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44.13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ZJQTT202201040001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万家基金裕顺1号集合资产管理计划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24,798,249.88</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10.94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ZJQTT202210120027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平安资产创赢1号</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24,012,636.02</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ZJQTT202203210001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招商基金-安鑫1号集合资产管理计划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23,976,703.17</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HHQTT202103300001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华夏基金宁益1号集合资产管理计划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21,072,447.98</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ZJQTT202101180001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易方达基金鸿鹤1号集合资产管理计划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19,674,409.75</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8.68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22881114</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22金坛交通01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安吉县交通投资发展集团有限公司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22安吉交投03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585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常州市金坛区交通产业集团有限公司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22金坛交通01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0120040000000878</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南银理财鑫逸稳增强两年17期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产品应支付关联方托管费11,453.64元，应支付关联方代销费43,093.21元。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3DF42E58"/>
    <w:rsid w:val="57DD4EC8"/>
    <w:rsid w:val="611546EB"/>
    <w:rsid w:val="61962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7</Pages>
  <Words>2585</Words>
  <Characters>3044</Characters>
  <Lines>14</Lines>
  <Paragraphs>4</Paragraphs>
  <TotalTime>0</TotalTime>
  <ScaleCrop>false</ScaleCrop>
  <LinksUpToDate>false</LinksUpToDate>
  <CharactersWithSpaces>3081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2023-01-13T10:38:18Z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