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proofErr w:type="gramStart"/>
      <w:r>
        <w:rPr>
          <w:rFonts w:ascii="方正黑体_GBK" w:eastAsia="方正黑体_GBK" w:hint="eastAsia"/>
          <w:sz w:val="36"/>
          <w:szCs w:val="36"/>
        </w:rPr>
        <w:t>南银理财</w:t>
      </w:r>
      <w:proofErr w:type="gramEnd"/>
      <w:r>
        <w:rPr>
          <w:rFonts w:ascii="方正黑体_GBK" w:eastAsia="方正黑体_GBK" w:hint="eastAsia"/>
          <w:sz w:val="36"/>
          <w:szCs w:val="36"/>
        </w:rPr>
        <w:t>珠联璧合</w:t>
      </w:r>
      <w:proofErr w:type="gramStart"/>
      <w:r>
        <w:rPr>
          <w:rFonts w:ascii="方正黑体_GBK" w:eastAsia="方正黑体_GBK" w:hint="eastAsia"/>
          <w:sz w:val="36"/>
          <w:szCs w:val="36"/>
        </w:rPr>
        <w:t>鑫逸稳增强</w:t>
      </w:r>
      <w:proofErr w:type="gramEnd"/>
      <w:r>
        <w:rPr>
          <w:rFonts w:ascii="方正黑体_GBK" w:eastAsia="方正黑体_GBK" w:hint="eastAsia"/>
          <w:sz w:val="36"/>
          <w:szCs w:val="36"/>
        </w:rPr>
        <w:t>两年18期封闭式公募人民币理财产品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2022年第4季度报告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w:t>
      </w:r>
      <w:proofErr w:type="gramStart"/>
      <w:r>
        <w:rPr>
          <w:rFonts w:ascii="方正仿宋_GBK" w:eastAsia="方正仿宋_GBK" w:hint="eastAsia"/>
          <w:b/>
          <w:sz w:val="24"/>
          <w:szCs w:val="24"/>
        </w:rPr>
        <w:t>南银理财</w:t>
      </w:r>
      <w:proofErr w:type="gramEnd"/>
      <w:r>
        <w:rPr>
          <w:rFonts w:ascii="方正仿宋_GBK" w:eastAsia="方正仿宋_GBK" w:hint="eastAsia"/>
          <w:b/>
          <w:sz w:val="24"/>
          <w:szCs w:val="24"/>
        </w:rPr>
        <w:t>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lastRenderedPageBreak/>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XSpec="center" w:tblpY="1"/>
        <w:tblOverlap w:val="never"/>
        <w:tblW w:w="889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2719"/>
        <w:gridCol w:w="6178"/>
      </w:tblGrid>
      <w:tr w:rsidR="00B31DA4" w:rsidTr="00031FB7">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w:t>
            </w:r>
            <w:proofErr w:type="gramEnd"/>
            <w:r>
              <w:rPr>
                <w:rFonts w:ascii="方正仿宋_GBK" w:eastAsia="方正仿宋_GBK" w:hAnsi="仿宋_GB2312" w:cs="仿宋_GB2312" w:hint="eastAsia"/>
                <w:sz w:val="24"/>
                <w:szCs w:val="24"/>
              </w:rPr>
              <w:t>珠联璧合</w:t>
            </w:r>
            <w:proofErr w:type="gramStart"/>
            <w:r>
              <w:rPr>
                <w:rFonts w:ascii="方正仿宋_GBK" w:eastAsia="方正仿宋_GBK" w:hAnsi="仿宋_GB2312" w:cs="仿宋_GB2312" w:hint="eastAsia"/>
                <w:sz w:val="24"/>
                <w:szCs w:val="24"/>
              </w:rPr>
              <w:t>鑫逸稳增强</w:t>
            </w:r>
            <w:proofErr w:type="gramEnd"/>
            <w:r>
              <w:rPr>
                <w:rFonts w:ascii="方正仿宋_GBK" w:eastAsia="方正仿宋_GBK" w:hAnsi="仿宋_GB2312" w:cs="仿宋_GB2312" w:hint="eastAsia"/>
                <w:sz w:val="24"/>
                <w:szCs w:val="24"/>
              </w:rPr>
              <w:t>两年18期封闭式公募人民币理财产品</w:t>
            </w:r>
          </w:p>
        </w:tc>
      </w:tr>
      <w:tr w:rsidR="00B31DA4" w:rsidTr="00031FB7">
        <w:trPr>
          <w:trHeight w:val="1300"/>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Z7003222000062（投资者可依据该编码在中国</w:t>
            </w:r>
            <w:proofErr w:type="gramStart"/>
            <w:r>
              <w:rPr>
                <w:rFonts w:ascii="方正仿宋_GBK" w:eastAsia="方正仿宋_GBK" w:hAnsi="仿宋_GB2312" w:cs="仿宋_GB2312" w:hint="eastAsia"/>
                <w:sz w:val="24"/>
                <w:szCs w:val="24"/>
              </w:rPr>
              <w:t>理财网</w:t>
            </w:r>
            <w:proofErr w:type="gramEnd"/>
            <w:r>
              <w:rPr>
                <w:rFonts w:ascii="方正仿宋_GBK" w:eastAsia="方正仿宋_GBK" w:hAnsi="仿宋_GB2312" w:cs="仿宋_GB2312" w:hint="eastAsia"/>
                <w:sz w:val="24"/>
                <w:szCs w:val="24"/>
              </w:rPr>
              <w:t>www.chinawealth.com.cn查询理财产品相关信息）</w:t>
            </w:r>
          </w:p>
        </w:tc>
      </w:tr>
      <w:tr w:rsidR="00B31DA4" w:rsidTr="00031FB7">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031FB7">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2022年08月31日</w:t>
            </w:r>
          </w:p>
        </w:tc>
      </w:tr>
      <w:tr w:rsidR="00B31DA4" w:rsidTr="00031FB7">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321,118,775.00份</w:t>
            </w:r>
          </w:p>
        </w:tc>
      </w:tr>
      <w:tr w:rsidR="00B31DA4" w:rsidTr="00031FB7">
        <w:trPr>
          <w:trHeight w:val="688"/>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易方达基金管理有限公司、平安资产管理有限责任公司、招商基金管理有限公司、华夏基金管理有限公司、万家基金管理有限公司</w:t>
            </w:r>
          </w:p>
        </w:tc>
      </w:tr>
      <w:tr w:rsidR="00B31DA4" w:rsidTr="00031FB7">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w:t>
            </w:r>
            <w:proofErr w:type="gramEnd"/>
            <w:r>
              <w:rPr>
                <w:rFonts w:ascii="方正仿宋_GBK" w:eastAsia="方正仿宋_GBK" w:hAnsi="仿宋_GB2312" w:cs="仿宋_GB2312" w:hint="eastAsia"/>
                <w:sz w:val="24"/>
                <w:szCs w:val="24"/>
              </w:rPr>
              <w:t>有限责任公司</w:t>
            </w:r>
          </w:p>
        </w:tc>
      </w:tr>
      <w:tr w:rsidR="00B31DA4" w:rsidTr="00031FB7">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报告期（2022年10月01日 - 2022年12月31日）</w:t>
            </w:r>
          </w:p>
        </w:tc>
      </w:tr>
      <w:tr w:rsidR="00B31DA4" w:rsidTr="00E2696A">
        <w:trPr>
          <w:trHeight w:val="1697"/>
          <w:jc w:val="center"/>
        </w:trPr>
        <w:tc>
          <w:tcPr>
            <w:tcW w:w="1838" w:type="dxa"/>
            <w:vMerge/>
            <w:vAlign w:val="center"/>
          </w:tcPr>
          <w:p w:rsidR="00B31DA4" w:rsidRDefault="00B31DA4" w:rsidP="0031044B">
            <w:pPr>
              <w:spacing w:beforeLines="20" w:before="48" w:afterLines="20" w:after="48"/>
              <w:jc w:val="center"/>
              <w:rPr>
                <w:rFonts w:ascii="方正仿宋_GBK" w:eastAsia="方正仿宋_GBK" w:hAnsi="仿宋_GB2312" w:cs="仿宋_GB2312"/>
                <w:sz w:val="24"/>
                <w:szCs w:val="24"/>
              </w:rPr>
            </w:pPr>
          </w:p>
        </w:tc>
        <w:tc>
          <w:tcPr>
            <w:tcW w:w="269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w:t>
            </w:r>
            <w:proofErr w:type="gramStart"/>
            <w:r>
              <w:rPr>
                <w:rFonts w:ascii="方正仿宋_GBK" w:eastAsia="方正仿宋_GBK" w:hAnsi="仿宋_GB2312" w:cs="仿宋_GB2312" w:hint="eastAsia"/>
                <w:sz w:val="24"/>
                <w:szCs w:val="24"/>
              </w:rPr>
              <w:t>日资产</w:t>
            </w:r>
            <w:proofErr w:type="gramEnd"/>
            <w:r>
              <w:rPr>
                <w:rFonts w:ascii="方正仿宋_GBK" w:eastAsia="方正仿宋_GBK" w:hAnsi="仿宋_GB2312" w:cs="仿宋_GB2312" w:hint="eastAsia"/>
                <w:sz w:val="24"/>
                <w:szCs w:val="24"/>
              </w:rPr>
              <w:t>净值</w:t>
            </w:r>
          </w:p>
        </w:tc>
        <w:tc>
          <w:tcPr>
            <w:tcW w:w="241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rsidR="00780142">
        <w:trPr>
          <w:trHeight w:val="565"/>
          <w:jc w:val="center"/>
        </w:trPr>
        <w:tc>
          <w:tcPr>
            <w:tcW w:w="1838" w:type="dxa"/>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lastRenderedPageBreak/>
              <w:t>Y40018</w:t>
            </w:r>
          </w:p>
        </w:tc>
        <w:tc>
          <w:tcPr>
            <w:tcW w:w="2693" w:type="dxa"/>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319,339,924.29</w:t>
            </w:r>
          </w:p>
        </w:tc>
        <w:tc>
          <w:tcPr>
            <w:tcW w:w="2410" w:type="dxa"/>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0.9944</w:t>
            </w:r>
          </w:p>
        </w:tc>
        <w:tc>
          <w:tcPr>
            <w:tcW w:w="2126" w:type="dxa"/>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0.9944</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lastRenderedPageBreak/>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822F26" w:rsidRDefault="007816A9" w:rsidP="00822F26">
      <w:pPr>
        <w:spacing w:before="240" w:after="72" w:line="360" w:lineRule="auto"/>
        <w:ind w:firstLine="41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四季度期间，基本面数据维持弱势，国内疫情防控优化伴随冬季疫情高发期，感染人数明显增长，对经济活动形成明显的压制影响，外围方面出口下行压力明显增强。政策层面则继续发力对</w:t>
      </w:r>
      <w:proofErr w:type="gramStart"/>
      <w:r>
        <w:rPr>
          <w:rFonts w:ascii="方正仿宋_GBK" w:eastAsia="方正仿宋_GBK" w:hAnsiTheme="minorHAnsi" w:cstheme="minorBidi" w:hint="eastAsia"/>
          <w:sz w:val="24"/>
          <w:szCs w:val="24"/>
        </w:rPr>
        <w:t>冲经济</w:t>
      </w:r>
      <w:proofErr w:type="gramEnd"/>
      <w:r>
        <w:rPr>
          <w:rFonts w:ascii="方正仿宋_GBK" w:eastAsia="方正仿宋_GBK" w:hAnsiTheme="minorHAnsi" w:cstheme="minorBidi" w:hint="eastAsia"/>
          <w:sz w:val="24"/>
          <w:szCs w:val="24"/>
        </w:rPr>
        <w:t>下行压力，除了疫情防控动态优化，房地产行业政策频出，“三支箭”显示政策</w:t>
      </w:r>
      <w:proofErr w:type="gramStart"/>
      <w:r>
        <w:rPr>
          <w:rFonts w:ascii="方正仿宋_GBK" w:eastAsia="方正仿宋_GBK" w:hAnsiTheme="minorHAnsi" w:cstheme="minorBidi" w:hint="eastAsia"/>
          <w:sz w:val="24"/>
          <w:szCs w:val="24"/>
        </w:rPr>
        <w:t>端态度</w:t>
      </w:r>
      <w:proofErr w:type="gramEnd"/>
      <w:r>
        <w:rPr>
          <w:rFonts w:ascii="方正仿宋_GBK" w:eastAsia="方正仿宋_GBK" w:hAnsiTheme="minorHAnsi" w:cstheme="minorBidi" w:hint="eastAsia"/>
          <w:sz w:val="24"/>
          <w:szCs w:val="24"/>
        </w:rPr>
        <w:t>期望行业回归稳健正常运行。</w:t>
      </w:r>
      <w:r>
        <w:rPr>
          <w:rFonts w:ascii="方正仿宋_GBK" w:eastAsia="方正仿宋_GBK" w:hAnsiTheme="minorHAnsi" w:cstheme="minorBidi" w:hint="eastAsia"/>
          <w:sz w:val="24"/>
          <w:szCs w:val="24"/>
        </w:rPr>
        <w:br w:type="textWrapping" w:clear="all"/>
        <w:t xml:space="preserve">    债券市场方面，重点关注债市赎回压力边际改善下的短端配置价值。随着央行加大公开市场操作呵护资金面，叠加部分银行自营资金承接，债市抛压逐步缓解，跨年前后债市也明显反弹修复。展望后续，经济</w:t>
      </w:r>
      <w:proofErr w:type="gramStart"/>
      <w:r>
        <w:rPr>
          <w:rFonts w:ascii="方正仿宋_GBK" w:eastAsia="方正仿宋_GBK" w:hAnsiTheme="minorHAnsi" w:cstheme="minorBidi" w:hint="eastAsia"/>
          <w:sz w:val="24"/>
          <w:szCs w:val="24"/>
        </w:rPr>
        <w:t>弱现实</w:t>
      </w:r>
      <w:proofErr w:type="gramEnd"/>
      <w:r>
        <w:rPr>
          <w:rFonts w:ascii="方正仿宋_GBK" w:eastAsia="方正仿宋_GBK" w:hAnsiTheme="minorHAnsi" w:cstheme="minorBidi" w:hint="eastAsia"/>
          <w:sz w:val="24"/>
          <w:szCs w:val="24"/>
        </w:rPr>
        <w:t>的支撑下资金面有望保持宽松，随着理财赎回压力逐步缓解，债券资产有望回归基本面迎来修复，本轮快速调整后</w:t>
      </w:r>
      <w:proofErr w:type="gramStart"/>
      <w:r>
        <w:rPr>
          <w:rFonts w:ascii="方正仿宋_GBK" w:eastAsia="方正仿宋_GBK" w:hAnsiTheme="minorHAnsi" w:cstheme="minorBidi" w:hint="eastAsia"/>
          <w:sz w:val="24"/>
          <w:szCs w:val="24"/>
        </w:rPr>
        <w:t>信用债性价</w:t>
      </w:r>
      <w:proofErr w:type="gramEnd"/>
      <w:r>
        <w:rPr>
          <w:rFonts w:ascii="方正仿宋_GBK" w:eastAsia="方正仿宋_GBK" w:hAnsiTheme="minorHAnsi" w:cstheme="minorBidi" w:hint="eastAsia"/>
          <w:sz w:val="24"/>
          <w:szCs w:val="24"/>
        </w:rPr>
        <w:t>比明显抬升，尤其是短</w:t>
      </w:r>
      <w:proofErr w:type="gramStart"/>
      <w:r>
        <w:rPr>
          <w:rFonts w:ascii="方正仿宋_GBK" w:eastAsia="方正仿宋_GBK" w:hAnsiTheme="minorHAnsi" w:cstheme="minorBidi" w:hint="eastAsia"/>
          <w:sz w:val="24"/>
          <w:szCs w:val="24"/>
        </w:rPr>
        <w:t>端品种</w:t>
      </w:r>
      <w:proofErr w:type="gramEnd"/>
      <w:r>
        <w:rPr>
          <w:rFonts w:ascii="方正仿宋_GBK" w:eastAsia="方正仿宋_GBK" w:hAnsiTheme="minorHAnsi" w:cstheme="minorBidi" w:hint="eastAsia"/>
          <w:sz w:val="24"/>
          <w:szCs w:val="24"/>
        </w:rPr>
        <w:t>具有较高配置价值，资金面宽松下套</w:t>
      </w:r>
      <w:proofErr w:type="gramStart"/>
      <w:r>
        <w:rPr>
          <w:rFonts w:ascii="方正仿宋_GBK" w:eastAsia="方正仿宋_GBK" w:hAnsiTheme="minorHAnsi" w:cstheme="minorBidi" w:hint="eastAsia"/>
          <w:sz w:val="24"/>
          <w:szCs w:val="24"/>
        </w:rPr>
        <w:t>息空间</w:t>
      </w:r>
      <w:proofErr w:type="gramEnd"/>
      <w:r>
        <w:rPr>
          <w:rFonts w:ascii="方正仿宋_GBK" w:eastAsia="方正仿宋_GBK" w:hAnsiTheme="minorHAnsi" w:cstheme="minorBidi" w:hint="eastAsia"/>
          <w:sz w:val="24"/>
          <w:szCs w:val="24"/>
        </w:rPr>
        <w:t>也较为充足，预计中短端高等级信用债表现占优，本产品负债端相对稳定，将择</w:t>
      </w:r>
      <w:proofErr w:type="gramStart"/>
      <w:r>
        <w:rPr>
          <w:rFonts w:ascii="方正仿宋_GBK" w:eastAsia="方正仿宋_GBK" w:hAnsiTheme="minorHAnsi" w:cstheme="minorBidi" w:hint="eastAsia"/>
          <w:sz w:val="24"/>
          <w:szCs w:val="24"/>
        </w:rPr>
        <w:t>低保持</w:t>
      </w:r>
      <w:proofErr w:type="gramEnd"/>
      <w:r>
        <w:rPr>
          <w:rFonts w:ascii="方正仿宋_GBK" w:eastAsia="方正仿宋_GBK" w:hAnsiTheme="minorHAnsi" w:cstheme="minorBidi" w:hint="eastAsia"/>
          <w:sz w:val="24"/>
          <w:szCs w:val="24"/>
        </w:rPr>
        <w:t>配置，</w:t>
      </w:r>
      <w:proofErr w:type="gramStart"/>
      <w:r>
        <w:rPr>
          <w:rFonts w:ascii="方正仿宋_GBK" w:eastAsia="方正仿宋_GBK" w:hAnsiTheme="minorHAnsi" w:cstheme="minorBidi" w:hint="eastAsia"/>
          <w:sz w:val="24"/>
          <w:szCs w:val="24"/>
        </w:rPr>
        <w:t>目前固收部分</w:t>
      </w:r>
      <w:proofErr w:type="gramEnd"/>
      <w:r>
        <w:rPr>
          <w:rFonts w:ascii="方正仿宋_GBK" w:eastAsia="方正仿宋_GBK" w:hAnsiTheme="minorHAnsi" w:cstheme="minorBidi" w:hint="eastAsia"/>
          <w:sz w:val="24"/>
          <w:szCs w:val="24"/>
        </w:rPr>
        <w:t>债券的静态估值在4%-4.5%，</w:t>
      </w:r>
      <w:proofErr w:type="gramStart"/>
      <w:r>
        <w:rPr>
          <w:rFonts w:ascii="方正仿宋_GBK" w:eastAsia="方正仿宋_GBK" w:hAnsiTheme="minorHAnsi" w:cstheme="minorBidi" w:hint="eastAsia"/>
          <w:sz w:val="24"/>
          <w:szCs w:val="24"/>
        </w:rPr>
        <w:t>久期平均</w:t>
      </w:r>
      <w:proofErr w:type="gramEnd"/>
      <w:r>
        <w:rPr>
          <w:rFonts w:ascii="方正仿宋_GBK" w:eastAsia="方正仿宋_GBK" w:hAnsiTheme="minorHAnsi" w:cstheme="minorBidi" w:hint="eastAsia"/>
          <w:sz w:val="24"/>
          <w:szCs w:val="24"/>
        </w:rPr>
        <w:t>控制在1.5年左右，未来债券资产持有到期收益较为可观。</w:t>
      </w:r>
      <w:r>
        <w:rPr>
          <w:rFonts w:ascii="方正仿宋_GBK" w:eastAsia="方正仿宋_GBK" w:hAnsiTheme="minorHAnsi" w:cstheme="minorBidi" w:hint="eastAsia"/>
          <w:sz w:val="24"/>
          <w:szCs w:val="24"/>
        </w:rPr>
        <w:br w:type="textWrapping" w:clear="all"/>
        <w:t xml:space="preserve">    本产品投资的非标准化债权类资产底层主要为江浙地区优质城投企业。截至2022年末，本产品所投非标准化债权类资产的融资人还本付息情况良好，再融资及各项经营活动正常。受银保监会15号</w:t>
      </w:r>
      <w:proofErr w:type="gramStart"/>
      <w:r>
        <w:rPr>
          <w:rFonts w:ascii="方正仿宋_GBK" w:eastAsia="方正仿宋_GBK" w:hAnsiTheme="minorHAnsi" w:cstheme="minorBidi" w:hint="eastAsia"/>
          <w:sz w:val="24"/>
          <w:szCs w:val="24"/>
        </w:rPr>
        <w:t>文持续</w:t>
      </w:r>
      <w:proofErr w:type="gramEnd"/>
      <w:r>
        <w:rPr>
          <w:rFonts w:ascii="方正仿宋_GBK" w:eastAsia="方正仿宋_GBK" w:hAnsiTheme="minorHAnsi" w:cstheme="minorBidi" w:hint="eastAsia"/>
          <w:sz w:val="24"/>
          <w:szCs w:val="24"/>
        </w:rPr>
        <w:t>约束，城投平台借款增速同比下降；同时今年</w:t>
      </w:r>
      <w:proofErr w:type="gramStart"/>
      <w:r>
        <w:rPr>
          <w:rFonts w:ascii="方正仿宋_GBK" w:eastAsia="方正仿宋_GBK" w:hAnsiTheme="minorHAnsi" w:cstheme="minorBidi" w:hint="eastAsia"/>
          <w:sz w:val="24"/>
          <w:szCs w:val="24"/>
        </w:rPr>
        <w:t>以来</w:t>
      </w:r>
      <w:r>
        <w:rPr>
          <w:rFonts w:ascii="方正仿宋_GBK" w:eastAsia="方正仿宋_GBK" w:hAnsiTheme="minorHAnsi" w:cstheme="minorBidi" w:hint="eastAsia"/>
          <w:sz w:val="24"/>
          <w:szCs w:val="24"/>
        </w:rPr>
        <w:lastRenderedPageBreak/>
        <w:t>涉隐债主</w:t>
      </w:r>
      <w:proofErr w:type="gramEnd"/>
      <w:r>
        <w:rPr>
          <w:rFonts w:ascii="方正仿宋_GBK" w:eastAsia="方正仿宋_GBK" w:hAnsiTheme="minorHAnsi" w:cstheme="minorBidi" w:hint="eastAsia"/>
          <w:sz w:val="24"/>
          <w:szCs w:val="24"/>
        </w:rPr>
        <w:t>体基本只允许借新还旧，使得半数以上省份净融资额同比缩量，</w:t>
      </w:r>
      <w:proofErr w:type="gramStart"/>
      <w:r>
        <w:rPr>
          <w:rFonts w:ascii="方正仿宋_GBK" w:eastAsia="方正仿宋_GBK" w:hAnsiTheme="minorHAnsi" w:cstheme="minorBidi" w:hint="eastAsia"/>
          <w:sz w:val="24"/>
          <w:szCs w:val="24"/>
        </w:rPr>
        <w:t>但宽信用</w:t>
      </w:r>
      <w:proofErr w:type="gramEnd"/>
      <w:r>
        <w:rPr>
          <w:rFonts w:ascii="方正仿宋_GBK" w:eastAsia="方正仿宋_GBK" w:hAnsiTheme="minorHAnsi" w:cstheme="minorBidi" w:hint="eastAsia"/>
          <w:sz w:val="24"/>
          <w:szCs w:val="24"/>
        </w:rPr>
        <w:t>加码仍在稳增长，包括专项债、政策性金融工具等都会带来增量资金。整体来看，当前的资源将继续向优质主体倾斜，平台层级继续提升，各层级平台之间在逐步出现分化，信用利差扩大，而当前城投融资的各路径仍面临限制，借新还旧为主。但相对来说，江浙地区城投公司依然保持稳定，市场化经营业务有利于城投公司获取稳定现金流，提升融资能力。江浙地区的城投公司在基础设施建设业务方面的可持续性较强，信用风险和流动性风险整体可控。本产品投资的非标准化债权类资产以持有至到期为目的，获取稳定投资收益。</w:t>
      </w:r>
      <w:r>
        <w:rPr>
          <w:rFonts w:ascii="方正仿宋_GBK" w:eastAsia="方正仿宋_GBK" w:hAnsiTheme="minorHAnsi" w:cstheme="minorBidi" w:hint="eastAsia"/>
          <w:sz w:val="24"/>
          <w:szCs w:val="24"/>
        </w:rPr>
        <w:br w:type="textWrapping" w:clear="all"/>
        <w:t xml:space="preserve">    权益方面，2022年压制权益市场的负面因素较多，国内由于疫情防控、房地产调控导致经济衰退，国外通胀高企后流动性超预期收紧，叠加海外地缘</w:t>
      </w:r>
      <w:proofErr w:type="gramStart"/>
      <w:r>
        <w:rPr>
          <w:rFonts w:ascii="方正仿宋_GBK" w:eastAsia="方正仿宋_GBK" w:hAnsiTheme="minorHAnsi" w:cstheme="minorBidi" w:hint="eastAsia"/>
          <w:sz w:val="24"/>
          <w:szCs w:val="24"/>
        </w:rPr>
        <w:t>冲突等黑天鹅</w:t>
      </w:r>
      <w:proofErr w:type="gramEnd"/>
      <w:r>
        <w:rPr>
          <w:rFonts w:ascii="方正仿宋_GBK" w:eastAsia="方正仿宋_GBK" w:hAnsiTheme="minorHAnsi" w:cstheme="minorBidi" w:hint="eastAsia"/>
          <w:sz w:val="24"/>
          <w:szCs w:val="24"/>
        </w:rPr>
        <w:t>事件频发，权益类资产的全年下跌幅度较大，沪深300指数跌幅达到-22%，该跌幅近十年来仅次于2018年。全年中，基本面的亮点主要集中在新老能源，其中新能源赛道一度受益于复工复产而出现明显股价反弹但全年跌幅依然排名靠前，</w:t>
      </w:r>
      <w:proofErr w:type="gramStart"/>
      <w:r>
        <w:rPr>
          <w:rFonts w:ascii="方正仿宋_GBK" w:eastAsia="方正仿宋_GBK" w:hAnsiTheme="minorHAnsi" w:cstheme="minorBidi" w:hint="eastAsia"/>
          <w:sz w:val="24"/>
          <w:szCs w:val="24"/>
        </w:rPr>
        <w:t>新半军</w:t>
      </w:r>
      <w:proofErr w:type="gramEnd"/>
      <w:r>
        <w:rPr>
          <w:rFonts w:ascii="方正仿宋_GBK" w:eastAsia="方正仿宋_GBK" w:hAnsiTheme="minorHAnsi" w:cstheme="minorBidi" w:hint="eastAsia"/>
          <w:sz w:val="24"/>
          <w:szCs w:val="24"/>
        </w:rPr>
        <w:t>为代表的赛道成长板块股价受制于持仓拥挤和交易博弈的现象较为普遍，反观煤炭、石油为代表的老能源同时受益于基本面和估值的修复，其他与经济周期相关的下游消费、中游制造在经济下行阶段也难以有明显的超额。权益部分全年</w:t>
      </w:r>
      <w:proofErr w:type="gramStart"/>
      <w:r>
        <w:rPr>
          <w:rFonts w:ascii="方正仿宋_GBK" w:eastAsia="方正仿宋_GBK" w:hAnsiTheme="minorHAnsi" w:cstheme="minorBidi" w:hint="eastAsia"/>
          <w:sz w:val="24"/>
          <w:szCs w:val="24"/>
        </w:rPr>
        <w:t>仓位</w:t>
      </w:r>
      <w:proofErr w:type="gramEnd"/>
      <w:r>
        <w:rPr>
          <w:rFonts w:ascii="方正仿宋_GBK" w:eastAsia="方正仿宋_GBK" w:hAnsiTheme="minorHAnsi" w:cstheme="minorBidi" w:hint="eastAsia"/>
          <w:sz w:val="24"/>
          <w:szCs w:val="24"/>
        </w:rPr>
        <w:t>偏防守，其中对于基金重仓的消费、新能源板块阶段性规避，对煤炭为代表的周期以及医药、</w:t>
      </w:r>
      <w:proofErr w:type="gramStart"/>
      <w:r>
        <w:rPr>
          <w:rFonts w:ascii="方正仿宋_GBK" w:eastAsia="方正仿宋_GBK" w:hAnsiTheme="minorHAnsi" w:cstheme="minorBidi" w:hint="eastAsia"/>
          <w:sz w:val="24"/>
          <w:szCs w:val="24"/>
        </w:rPr>
        <w:t>信创等</w:t>
      </w:r>
      <w:proofErr w:type="gramEnd"/>
      <w:r>
        <w:rPr>
          <w:rFonts w:ascii="方正仿宋_GBK" w:eastAsia="方正仿宋_GBK" w:hAnsiTheme="minorHAnsi" w:cstheme="minorBidi" w:hint="eastAsia"/>
          <w:sz w:val="24"/>
          <w:szCs w:val="24"/>
        </w:rPr>
        <w:t>板块择机超配，是全年超额收益的主要来源。四季度特别是11月以来，我们看到疫情防控、房地产调控政策出现了明显的转向，说明国家安全和经济发展是一体两面而</w:t>
      </w:r>
      <w:proofErr w:type="gramStart"/>
      <w:r>
        <w:rPr>
          <w:rFonts w:ascii="方正仿宋_GBK" w:eastAsia="方正仿宋_GBK" w:hAnsiTheme="minorHAnsi" w:cstheme="minorBidi" w:hint="eastAsia"/>
          <w:sz w:val="24"/>
          <w:szCs w:val="24"/>
        </w:rPr>
        <w:t>非左右互</w:t>
      </w:r>
      <w:proofErr w:type="gramEnd"/>
      <w:r>
        <w:rPr>
          <w:rFonts w:ascii="方正仿宋_GBK" w:eastAsia="方正仿宋_GBK" w:hAnsiTheme="minorHAnsi" w:cstheme="minorBidi" w:hint="eastAsia"/>
          <w:sz w:val="24"/>
          <w:szCs w:val="24"/>
        </w:rPr>
        <w:t>搏，叠加货币、财政政策可以预期的适度放松，而海外的通胀在高位徘徊后出现环比回落，加息收紧的节奏也开始趋缓，整年压制权益市场的负面因素几乎都出现了缓解，同时目前股市估值对应的</w:t>
      </w:r>
      <w:proofErr w:type="gramStart"/>
      <w:r>
        <w:rPr>
          <w:rFonts w:ascii="方正仿宋_GBK" w:eastAsia="方正仿宋_GBK" w:hAnsiTheme="minorHAnsi" w:cstheme="minorBidi" w:hint="eastAsia"/>
          <w:sz w:val="24"/>
          <w:szCs w:val="24"/>
        </w:rPr>
        <w:t>股债性价</w:t>
      </w:r>
      <w:proofErr w:type="gramEnd"/>
      <w:r>
        <w:rPr>
          <w:rFonts w:ascii="方正仿宋_GBK" w:eastAsia="方正仿宋_GBK" w:hAnsiTheme="minorHAnsi" w:cstheme="minorBidi" w:hint="eastAsia"/>
          <w:sz w:val="24"/>
          <w:szCs w:val="24"/>
        </w:rPr>
        <w:t>比依然处于过去十年80%以上分位数，权益资产具备中长期配置的优势，产品</w:t>
      </w:r>
      <w:r>
        <w:rPr>
          <w:rFonts w:ascii="方正仿宋_GBK" w:eastAsia="方正仿宋_GBK" w:hAnsiTheme="minorHAnsi" w:cstheme="minorBidi" w:hint="eastAsia"/>
          <w:sz w:val="24"/>
          <w:szCs w:val="24"/>
        </w:rPr>
        <w:lastRenderedPageBreak/>
        <w:t>将维持更为积极的权益</w:t>
      </w:r>
      <w:proofErr w:type="gramStart"/>
      <w:r>
        <w:rPr>
          <w:rFonts w:ascii="方正仿宋_GBK" w:eastAsia="方正仿宋_GBK" w:hAnsiTheme="minorHAnsi" w:cstheme="minorBidi" w:hint="eastAsia"/>
          <w:sz w:val="24"/>
          <w:szCs w:val="24"/>
        </w:rPr>
        <w:t>仓位</w:t>
      </w:r>
      <w:proofErr w:type="gramEnd"/>
      <w:r>
        <w:rPr>
          <w:rFonts w:ascii="方正仿宋_GBK" w:eastAsia="方正仿宋_GBK" w:hAnsiTheme="minorHAnsi" w:cstheme="minorBidi" w:hint="eastAsia"/>
          <w:sz w:val="24"/>
          <w:szCs w:val="24"/>
        </w:rPr>
        <w:t>，以应对经济复苏、流动性宽松的有利宏观组合。</w:t>
      </w:r>
    </w:p>
    <w:p w:rsidR="00B31DA4" w:rsidRDefault="007816A9" w:rsidP="00822F26">
      <w:pPr>
        <w:spacing w:before="240" w:after="72" w:line="360" w:lineRule="auto"/>
        <w:rPr>
          <w:rFonts w:ascii="方正仿宋_GBK" w:eastAsia="方正仿宋_GBK"/>
          <w:b/>
          <w:sz w:val="24"/>
          <w:szCs w:val="24"/>
        </w:rPr>
      </w:pPr>
      <w:bookmarkStart w:id="0" w:name="_GoBack"/>
      <w:bookmarkEnd w:id="0"/>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w:t>
      </w:r>
      <w:r>
        <w:rPr>
          <w:rFonts w:ascii="方正仿宋_GBK" w:eastAsia="方正仿宋_GBK" w:hAnsiTheme="minorHAnsi" w:cstheme="minorBidi"/>
          <w:sz w:val="24"/>
          <w:szCs w:val="24"/>
        </w:rPr>
        <w:t xml:space="preserve">   本产品投资的非标准化债权类资产到期日不晚于产品到期日，债券部分主要投向AA+及以上的</w:t>
      </w:r>
      <w:proofErr w:type="gramStart"/>
      <w:r>
        <w:rPr>
          <w:rFonts w:ascii="方正仿宋_GBK" w:eastAsia="方正仿宋_GBK" w:hAnsiTheme="minorHAnsi" w:cstheme="minorBidi"/>
          <w:sz w:val="24"/>
          <w:szCs w:val="24"/>
        </w:rPr>
        <w:t>优质产业</w:t>
      </w:r>
      <w:proofErr w:type="gramEnd"/>
      <w:r>
        <w:rPr>
          <w:rFonts w:ascii="方正仿宋_GBK" w:eastAsia="方正仿宋_GBK" w:hAnsiTheme="minorHAnsi" w:cstheme="minorBidi"/>
          <w:sz w:val="24"/>
          <w:szCs w:val="24"/>
        </w:rPr>
        <w:t>债券和城投债券，权益持仓中维持合理比例高流动性资产，产品整体流动性风险可控。本产品提前做好关键时点资金储备，保障流动性安全，下阶段将继续控制流动性风险。</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截至报告期末，本产品份额净值为0.9944元。</w:t>
      </w:r>
    </w:p>
    <w:p w:rsidR="00B31DA4" w:rsidRDefault="00B31DA4" w:rsidP="00675A8D">
      <w:pPr>
        <w:spacing w:before="240" w:after="72" w:line="360" w:lineRule="auto"/>
        <w:rPr>
          <w:rFonts w:ascii="方正仿宋_GBK" w:eastAsia="方正仿宋_GBK" w:hAnsi="宋体"/>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45"/>
        <w:gridCol w:w="1859"/>
        <w:gridCol w:w="3002"/>
        <w:gridCol w:w="3289"/>
      </w:tblGrid>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穿透前占总</w:t>
            </w:r>
            <w:proofErr w:type="gramEnd"/>
            <w:r>
              <w:rPr>
                <w:rFonts w:ascii="方正仿宋_GBK" w:eastAsia="方正仿宋_GBK" w:hAnsi="仿宋_GB2312" w:cs="仿宋_GB2312"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89.70%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90.84%</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5.46%</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10.30%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3.70%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序号</w:t>
            </w:r>
          </w:p>
        </w:tc>
        <w:tc>
          <w:tcPr>
            <w:tcW w:w="158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rsidR="00780142">
        <w:trPr>
          <w:trHeight w:val="583"/>
          <w:jc w:val="center"/>
        </w:trPr>
        <w:tc>
          <w:tcPr>
            <w:tcW w:w="751" w:type="dxa"/>
            <w:shd w:val="clear" w:color="auto" w:fill="auto"/>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585" w:type="dxa"/>
            <w:shd w:val="clear" w:color="auto" w:fill="auto"/>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22881189</w:t>
            </w:r>
          </w:p>
        </w:tc>
        <w:tc>
          <w:tcPr>
            <w:tcW w:w="2720" w:type="dxa"/>
            <w:shd w:val="clear" w:color="000000" w:fill="FFFFFF"/>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22盐城城建14</w:t>
            </w:r>
          </w:p>
        </w:tc>
        <w:tc>
          <w:tcPr>
            <w:tcW w:w="2058" w:type="dxa"/>
            <w:shd w:val="clear" w:color="000000" w:fill="FFFFFF"/>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150,000,000.00</w:t>
            </w:r>
          </w:p>
        </w:tc>
        <w:tc>
          <w:tcPr>
            <w:tcW w:w="1812" w:type="dxa"/>
            <w:shd w:val="clear" w:color="000000" w:fill="FFFFFF"/>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46.97</w:t>
            </w:r>
          </w:p>
        </w:tc>
      </w:tr>
      <w:tr w:rsidR="00780142">
        <w:trPr>
          <w:trHeight w:val="583"/>
          <w:jc w:val="center"/>
        </w:trPr>
        <w:tc>
          <w:tcPr>
            <w:tcW w:w="751" w:type="dxa"/>
            <w:shd w:val="clear" w:color="auto" w:fill="auto"/>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w:t>
            </w:r>
          </w:p>
        </w:tc>
        <w:tc>
          <w:tcPr>
            <w:tcW w:w="1585" w:type="dxa"/>
            <w:shd w:val="clear" w:color="auto" w:fill="auto"/>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ZJQTT202201040001</w:t>
            </w:r>
          </w:p>
        </w:tc>
        <w:tc>
          <w:tcPr>
            <w:tcW w:w="2720" w:type="dxa"/>
            <w:shd w:val="clear" w:color="000000" w:fill="FFFFFF"/>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万家基金裕顺1号集合资产管理计划</w:t>
            </w:r>
          </w:p>
        </w:tc>
        <w:tc>
          <w:tcPr>
            <w:tcW w:w="2058" w:type="dxa"/>
            <w:shd w:val="clear" w:color="000000" w:fill="FFFFFF"/>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34,646,807.68</w:t>
            </w:r>
          </w:p>
        </w:tc>
        <w:tc>
          <w:tcPr>
            <w:tcW w:w="1812" w:type="dxa"/>
            <w:shd w:val="clear" w:color="000000" w:fill="FFFFFF"/>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10.85</w:t>
            </w:r>
          </w:p>
        </w:tc>
      </w:tr>
      <w:tr w:rsidR="00780142">
        <w:trPr>
          <w:trHeight w:val="583"/>
          <w:jc w:val="center"/>
        </w:trPr>
        <w:tc>
          <w:tcPr>
            <w:tcW w:w="751" w:type="dxa"/>
            <w:shd w:val="clear" w:color="auto" w:fill="auto"/>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w:t>
            </w:r>
          </w:p>
        </w:tc>
        <w:tc>
          <w:tcPr>
            <w:tcW w:w="1585" w:type="dxa"/>
            <w:shd w:val="clear" w:color="auto" w:fill="auto"/>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ZJQTT202210120027</w:t>
            </w:r>
          </w:p>
        </w:tc>
        <w:tc>
          <w:tcPr>
            <w:tcW w:w="2720" w:type="dxa"/>
            <w:shd w:val="clear" w:color="000000" w:fill="FFFFFF"/>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平安</w:t>
            </w:r>
            <w:proofErr w:type="gramStart"/>
            <w:r>
              <w:rPr>
                <w:rFonts w:ascii="方正仿宋_GBK" w:eastAsia="方正仿宋_GBK" w:hAnsi="方正仿宋_GBK" w:cs="方正仿宋_GBK"/>
                <w:sz w:val="24"/>
              </w:rPr>
              <w:t>资产创赢1号</w:t>
            </w:r>
            <w:proofErr w:type="gramEnd"/>
          </w:p>
        </w:tc>
        <w:tc>
          <w:tcPr>
            <w:tcW w:w="2058" w:type="dxa"/>
            <w:shd w:val="clear" w:color="000000" w:fill="FFFFFF"/>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33,017,374.51</w:t>
            </w:r>
          </w:p>
        </w:tc>
        <w:tc>
          <w:tcPr>
            <w:tcW w:w="1812" w:type="dxa"/>
            <w:shd w:val="clear" w:color="000000" w:fill="FFFFFF"/>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10.34</w:t>
            </w:r>
          </w:p>
        </w:tc>
      </w:tr>
      <w:tr w:rsidR="00780142">
        <w:trPr>
          <w:trHeight w:val="583"/>
          <w:jc w:val="center"/>
        </w:trPr>
        <w:tc>
          <w:tcPr>
            <w:tcW w:w="751" w:type="dxa"/>
            <w:shd w:val="clear" w:color="auto" w:fill="auto"/>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w:t>
            </w:r>
          </w:p>
        </w:tc>
        <w:tc>
          <w:tcPr>
            <w:tcW w:w="1585" w:type="dxa"/>
            <w:shd w:val="clear" w:color="auto" w:fill="auto"/>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HHQTT202103300001</w:t>
            </w:r>
          </w:p>
        </w:tc>
        <w:tc>
          <w:tcPr>
            <w:tcW w:w="2720" w:type="dxa"/>
            <w:shd w:val="clear" w:color="000000" w:fill="FFFFFF"/>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华夏</w:t>
            </w:r>
            <w:proofErr w:type="gramStart"/>
            <w:r>
              <w:rPr>
                <w:rFonts w:ascii="方正仿宋_GBK" w:eastAsia="方正仿宋_GBK" w:hAnsi="方正仿宋_GBK" w:cs="方正仿宋_GBK"/>
                <w:sz w:val="24"/>
              </w:rPr>
              <w:t>基金宁益1号</w:t>
            </w:r>
            <w:proofErr w:type="gramEnd"/>
            <w:r>
              <w:rPr>
                <w:rFonts w:ascii="方正仿宋_GBK" w:eastAsia="方正仿宋_GBK" w:hAnsi="方正仿宋_GBK" w:cs="方正仿宋_GBK"/>
                <w:sz w:val="24"/>
              </w:rPr>
              <w:t>集合资产管理计划</w:t>
            </w:r>
          </w:p>
        </w:tc>
        <w:tc>
          <w:tcPr>
            <w:tcW w:w="2058" w:type="dxa"/>
            <w:shd w:val="clear" w:color="000000" w:fill="FFFFFF"/>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32,920,084.19</w:t>
            </w:r>
          </w:p>
        </w:tc>
        <w:tc>
          <w:tcPr>
            <w:tcW w:w="1812" w:type="dxa"/>
            <w:shd w:val="clear" w:color="000000" w:fill="FFFFFF"/>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10.31</w:t>
            </w:r>
          </w:p>
        </w:tc>
      </w:tr>
      <w:tr w:rsidR="00780142">
        <w:trPr>
          <w:trHeight w:val="583"/>
          <w:jc w:val="center"/>
        </w:trPr>
        <w:tc>
          <w:tcPr>
            <w:tcW w:w="751" w:type="dxa"/>
            <w:shd w:val="clear" w:color="auto" w:fill="auto"/>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w:t>
            </w:r>
          </w:p>
        </w:tc>
        <w:tc>
          <w:tcPr>
            <w:tcW w:w="1585" w:type="dxa"/>
            <w:shd w:val="clear" w:color="auto" w:fill="auto"/>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ZJQTT202101180001</w:t>
            </w:r>
          </w:p>
        </w:tc>
        <w:tc>
          <w:tcPr>
            <w:tcW w:w="2720" w:type="dxa"/>
            <w:shd w:val="clear" w:color="000000" w:fill="FFFFFF"/>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易方达基金鸿鹤1号集合资产管理计划</w:t>
            </w:r>
          </w:p>
        </w:tc>
        <w:tc>
          <w:tcPr>
            <w:tcW w:w="2058" w:type="dxa"/>
            <w:shd w:val="clear" w:color="000000" w:fill="FFFFFF"/>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32,561,501.26</w:t>
            </w:r>
          </w:p>
        </w:tc>
        <w:tc>
          <w:tcPr>
            <w:tcW w:w="1812" w:type="dxa"/>
            <w:shd w:val="clear" w:color="000000" w:fill="FFFFFF"/>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10.20</w:t>
            </w:r>
          </w:p>
        </w:tc>
      </w:tr>
      <w:tr w:rsidR="00780142">
        <w:trPr>
          <w:trHeight w:val="583"/>
          <w:jc w:val="center"/>
        </w:trPr>
        <w:tc>
          <w:tcPr>
            <w:tcW w:w="751" w:type="dxa"/>
            <w:shd w:val="clear" w:color="auto" w:fill="auto"/>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6</w:t>
            </w:r>
          </w:p>
        </w:tc>
        <w:tc>
          <w:tcPr>
            <w:tcW w:w="1585" w:type="dxa"/>
            <w:shd w:val="clear" w:color="auto" w:fill="auto"/>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ZJQTT202203210001</w:t>
            </w:r>
          </w:p>
        </w:tc>
        <w:tc>
          <w:tcPr>
            <w:tcW w:w="2720" w:type="dxa"/>
            <w:shd w:val="clear" w:color="000000" w:fill="FFFFFF"/>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招商基金-安鑫1号集合资产管理计划</w:t>
            </w:r>
          </w:p>
        </w:tc>
        <w:tc>
          <w:tcPr>
            <w:tcW w:w="2058" w:type="dxa"/>
            <w:shd w:val="clear" w:color="000000" w:fill="FFFFFF"/>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31,922,012.90</w:t>
            </w:r>
          </w:p>
        </w:tc>
        <w:tc>
          <w:tcPr>
            <w:tcW w:w="1812" w:type="dxa"/>
            <w:shd w:val="clear" w:color="000000" w:fill="FFFFFF"/>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10.00</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rsidR="00780142">
        <w:trPr>
          <w:trHeight w:val="571"/>
          <w:jc w:val="center"/>
        </w:trPr>
        <w:tc>
          <w:tcPr>
            <w:tcW w:w="877" w:type="dxa"/>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704" w:type="dxa"/>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盐城市城市建设投资集团有限公司</w:t>
            </w:r>
          </w:p>
        </w:tc>
        <w:tc>
          <w:tcPr>
            <w:tcW w:w="1275" w:type="dxa"/>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22盐城城建14</w:t>
            </w:r>
          </w:p>
        </w:tc>
        <w:tc>
          <w:tcPr>
            <w:tcW w:w="1540" w:type="dxa"/>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625</w:t>
            </w:r>
          </w:p>
        </w:tc>
        <w:tc>
          <w:tcPr>
            <w:tcW w:w="1383" w:type="dxa"/>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按年付息，到期还本</w:t>
            </w:r>
          </w:p>
        </w:tc>
        <w:tc>
          <w:tcPr>
            <w:tcW w:w="1271" w:type="dxa"/>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780142" w:rsidRDefault="001F0EA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rsidR="00780142">
        <w:trPr>
          <w:trHeight w:val="584"/>
          <w:jc w:val="center"/>
        </w:trPr>
        <w:tc>
          <w:tcPr>
            <w:tcW w:w="846" w:type="dxa"/>
            <w:vAlign w:val="center"/>
          </w:tcPr>
          <w:p w:rsidR="00780142" w:rsidRDefault="001F0EA6">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1</w:t>
            </w:r>
          </w:p>
        </w:tc>
        <w:tc>
          <w:tcPr>
            <w:tcW w:w="1417" w:type="dxa"/>
            <w:vAlign w:val="center"/>
          </w:tcPr>
          <w:p w:rsidR="00780142" w:rsidRDefault="001F0EA6">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托管账户</w:t>
            </w:r>
          </w:p>
        </w:tc>
        <w:tc>
          <w:tcPr>
            <w:tcW w:w="2668" w:type="dxa"/>
            <w:vAlign w:val="center"/>
          </w:tcPr>
          <w:p w:rsidR="00780142" w:rsidRDefault="001F0EA6">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0120000000000903</w:t>
            </w:r>
          </w:p>
        </w:tc>
        <w:tc>
          <w:tcPr>
            <w:tcW w:w="1983" w:type="dxa"/>
            <w:vAlign w:val="center"/>
          </w:tcPr>
          <w:p w:rsidR="00780142" w:rsidRDefault="001F0EA6">
            <w:pPr>
              <w:spacing w:beforeLines="20" w:before="48" w:afterLines="20" w:after="48"/>
              <w:jc w:val="center"/>
              <w:textAlignment w:val="center"/>
              <w:rPr>
                <w:rFonts w:ascii="方正仿宋_GBK" w:eastAsia="方正仿宋_GBK" w:hAnsi="Calibri"/>
                <w:sz w:val="24"/>
                <w:szCs w:val="24"/>
                <w:shd w:val="clear" w:color="auto" w:fill="FFFFFF"/>
              </w:rPr>
            </w:pPr>
            <w:proofErr w:type="gramStart"/>
            <w:r>
              <w:rPr>
                <w:rFonts w:ascii="方正仿宋_GBK" w:eastAsia="方正仿宋_GBK" w:hAnsi="方正仿宋_GBK" w:cs="方正仿宋_GBK"/>
                <w:sz w:val="24"/>
              </w:rPr>
              <w:t>南银理财鑫逸稳增强</w:t>
            </w:r>
            <w:proofErr w:type="gramEnd"/>
            <w:r>
              <w:rPr>
                <w:rFonts w:ascii="方正仿宋_GBK" w:eastAsia="方正仿宋_GBK" w:hAnsi="方正仿宋_GBK" w:cs="方正仿宋_GBK"/>
                <w:sz w:val="24"/>
              </w:rPr>
              <w:t>两年18期</w:t>
            </w:r>
          </w:p>
        </w:tc>
        <w:tc>
          <w:tcPr>
            <w:tcW w:w="1988" w:type="dxa"/>
            <w:vAlign w:val="center"/>
          </w:tcPr>
          <w:p w:rsidR="00780142" w:rsidRDefault="001F0EA6">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南京银行</w:t>
            </w:r>
          </w:p>
        </w:tc>
      </w:tr>
    </w:tbl>
    <w:p w:rsidR="00B31DA4" w:rsidRDefault="00B31DA4" w:rsidP="0068509B">
      <w:pPr>
        <w:spacing w:afterLines="0" w:after="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w:t>
      </w:r>
      <w:proofErr w:type="gramStart"/>
      <w:r>
        <w:rPr>
          <w:rFonts w:ascii="方正仿宋_GBK" w:eastAsia="方正仿宋_GBK" w:hAnsiTheme="minorHAnsi" w:cstheme="minorBidi" w:hint="eastAsia"/>
          <w:sz w:val="24"/>
          <w:szCs w:val="24"/>
        </w:rPr>
        <w:t>方发行</w:t>
      </w:r>
      <w:proofErr w:type="gramEnd"/>
      <w:r>
        <w:rPr>
          <w:rFonts w:ascii="方正仿宋_GBK" w:eastAsia="方正仿宋_GBK" w:hAnsiTheme="minorHAnsi" w:cstheme="minorBidi" w:hint="eastAsia"/>
          <w:sz w:val="24"/>
          <w:szCs w:val="24"/>
        </w:rPr>
        <w:t>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产品应支付关联方托管费16,148.26元，应支付关联方代销费</w:t>
      </w:r>
      <w:r w:rsidR="00735F94">
        <w:rPr>
          <w:rFonts w:ascii="方正仿宋_GBK" w:eastAsia="方正仿宋_GBK" w:hAnsiTheme="minorHAnsi" w:cstheme="minorBidi" w:hint="eastAsia"/>
          <w:sz w:val="24"/>
          <w:szCs w:val="24"/>
        </w:rPr>
        <w:t>46,082.18</w:t>
      </w:r>
      <w:r>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proofErr w:type="gramStart"/>
      <w:r>
        <w:rPr>
          <w:rFonts w:ascii="方正仿宋_GBK" w:eastAsia="方正仿宋_GBK" w:hAnsi="Calibri" w:hint="eastAsia"/>
          <w:b/>
          <w:sz w:val="24"/>
          <w:szCs w:val="24"/>
        </w:rPr>
        <w:t>南银理财</w:t>
      </w:r>
      <w:proofErr w:type="gramEnd"/>
      <w:r>
        <w:rPr>
          <w:rFonts w:ascii="方正仿宋_GBK" w:eastAsia="方正仿宋_GBK" w:hAnsi="Calibri" w:hint="eastAsia"/>
          <w:b/>
          <w:sz w:val="24"/>
          <w:szCs w:val="24"/>
        </w:rPr>
        <w:t>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2022年12月31日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701" w:rsidRDefault="00BE3701">
      <w:pPr>
        <w:spacing w:after="72"/>
      </w:pPr>
      <w:r>
        <w:separator/>
      </w:r>
    </w:p>
  </w:endnote>
  <w:endnote w:type="continuationSeparator" w:id="0">
    <w:p w:rsidR="00BE3701" w:rsidRDefault="00BE3701">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7816A9">
    <w:pPr>
      <w:pStyle w:val="a3"/>
      <w:framePr w:wrap="around" w:vAnchor="text" w:hAnchor="margin" w:xAlign="center" w:y="1"/>
      <w:spacing w:after="72"/>
      <w:rPr>
        <w:rStyle w:val="a6"/>
      </w:rPr>
    </w:pPr>
    <w:r>
      <w:fldChar w:fldCharType="begin"/>
    </w:r>
    <w:r>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701" w:rsidRDefault="00BE3701">
      <w:pPr>
        <w:spacing w:after="72"/>
      </w:pPr>
      <w:r>
        <w:separator/>
      </w:r>
    </w:p>
  </w:footnote>
  <w:footnote w:type="continuationSeparator" w:id="0">
    <w:p w:rsidR="00BE3701" w:rsidRDefault="00BE3701">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31FB7"/>
    <w:rsid w:val="00041771"/>
    <w:rsid w:val="000532CC"/>
    <w:rsid w:val="00063EA9"/>
    <w:rsid w:val="00072345"/>
    <w:rsid w:val="00072AD4"/>
    <w:rsid w:val="00074655"/>
    <w:rsid w:val="00075628"/>
    <w:rsid w:val="0007673D"/>
    <w:rsid w:val="000C0CDF"/>
    <w:rsid w:val="00103A35"/>
    <w:rsid w:val="001129D2"/>
    <w:rsid w:val="00137120"/>
    <w:rsid w:val="00142497"/>
    <w:rsid w:val="0018311F"/>
    <w:rsid w:val="001F0EA6"/>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0142"/>
    <w:rsid w:val="007816A9"/>
    <w:rsid w:val="00793EAE"/>
    <w:rsid w:val="00793F12"/>
    <w:rsid w:val="00794F8E"/>
    <w:rsid w:val="007B65F9"/>
    <w:rsid w:val="007C0575"/>
    <w:rsid w:val="007C36B2"/>
    <w:rsid w:val="007D32E0"/>
    <w:rsid w:val="007E2BB3"/>
    <w:rsid w:val="007E50AE"/>
    <w:rsid w:val="007F53C8"/>
    <w:rsid w:val="00801EF3"/>
    <w:rsid w:val="00810A55"/>
    <w:rsid w:val="00822F26"/>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BE3701"/>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138B4249"/>
    <w:rsid w:val="1F1A3BC0"/>
    <w:rsid w:val="2651710C"/>
    <w:rsid w:val="2C5F4270"/>
    <w:rsid w:val="341F714B"/>
    <w:rsid w:val="57DD4EC8"/>
    <w:rsid w:val="61154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5AF451-E35C-4A6F-B59F-1457E5E6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Lines="30" w:after="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style>
  <w:style w:type="character" w:customStyle="1" w:styleId="Char">
    <w:name w:val="页脚 Char"/>
    <w:link w:val="a3"/>
    <w:uiPriority w:val="99"/>
    <w:qFormat/>
    <w:locked/>
    <w:rPr>
      <w:rFonts w:ascii="Times New Roman" w:hAnsi="Times New Roman" w:cs="Times New Roman"/>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paragraph" w:customStyle="1" w:styleId="biaogeleft">
    <w:name w:val="biaoge_left"/>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biaogeright">
    <w:name w:val="biaoge_right"/>
    <w:basedOn w:val="a"/>
    <w:qFormat/>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9</Pages>
  <Words>477</Words>
  <Characters>2723</Characters>
  <Application>Microsoft Office Word</Application>
  <DocSecurity>0</DocSecurity>
  <Lines>22</Lines>
  <Paragraphs>6</Paragraphs>
  <ScaleCrop>false</ScaleCrop>
  <Company>cc</Company>
  <LinksUpToDate>false</LinksUpToDate>
  <CharactersWithSpaces>3194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体验用户54</cp:lastModifiedBy>
  <cp:revision>114</cp:revision>
  <dcterms:created xsi:type="dcterms:W3CDTF">2022-08-03T07:42:00Z</dcterms:created>
  <dcterms:modified xsi:type="dcterms:W3CDTF">2023-01-13T10:45:00Z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