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SYWMD6GC797A069GRPR8YL0K7N8MOXPRES0XTJDTXF8RTFLT68BJYCJGFYYTP86RAUMXSOLHZHKD8IJJQOFT6FFZ8RLMWHWBBJOOYHB347AD65CA477A6571164D37753324CC90" Type="http://schemas.microsoft.com/office/2006/relationships/officeDocumentMain" Target="NUL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jc w:val="center"/>
        <w:rPr>
          <w:rFonts w:hint="default" w:ascii="黑体" w:hAnsi="黑体" w:eastAsia="黑体" w:cs="黑体"/>
          <w:color w:val="000000"/>
          <w:sz w:val="44"/>
          <w:szCs w:val="44"/>
        </w:rPr>
      </w:pPr>
      <w:r>
        <w:rPr>
          <w:rFonts w:ascii="黑体" w:hAnsi="黑体" w:eastAsia="黑体" w:cs="黑体"/>
          <w:color w:val="000000"/>
          <w:sz w:val="44"/>
          <w:szCs w:val="44"/>
          <w:shd w:val="clear" w:color="auto" w:fill="FFFFFF"/>
        </w:rPr>
        <w:t>关于调整部分现金管理类理财产品业绩</w:t>
      </w:r>
      <w:r>
        <w:rPr>
          <w:rFonts w:ascii="黑体" w:hAnsi="黑体" w:eastAsia="黑体" w:cs="黑体"/>
          <w:color w:val="000000"/>
          <w:sz w:val="44"/>
          <w:szCs w:val="44"/>
          <w:shd w:val="clear" w:color="auto" w:fill="FFFFFF"/>
          <w:lang w:eastAsia="zh-Hans"/>
        </w:rPr>
        <w:t>比较</w:t>
      </w:r>
      <w:r>
        <w:rPr>
          <w:rFonts w:ascii="黑体" w:hAnsi="黑体" w:eastAsia="黑体" w:cs="黑体"/>
          <w:color w:val="000000"/>
          <w:sz w:val="44"/>
          <w:szCs w:val="44"/>
          <w:shd w:val="clear" w:color="auto" w:fill="FFFFFF"/>
        </w:rPr>
        <w:t>基准并相应修订《产品说明书》的公告(2023年</w:t>
      </w:r>
      <w:r>
        <w:rPr>
          <w:rFonts w:hint="eastAsia" w:ascii="黑体" w:hAnsi="黑体" w:eastAsia="黑体" w:cs="黑体"/>
          <w:color w:val="000000"/>
          <w:sz w:val="44"/>
          <w:szCs w:val="44"/>
          <w:shd w:val="clear" w:color="auto" w:fill="FFFFFF"/>
          <w:lang w:val="en-US" w:eastAsia="zh-CN"/>
        </w:rPr>
        <w:t>7</w:t>
      </w:r>
      <w:r>
        <w:rPr>
          <w:rFonts w:ascii="黑体" w:hAnsi="黑体" w:eastAsia="黑体" w:cs="黑体"/>
          <w:color w:val="000000"/>
          <w:sz w:val="44"/>
          <w:szCs w:val="44"/>
          <w:shd w:val="clear" w:color="auto" w:fill="FFFFFF"/>
        </w:rPr>
        <w:t>月</w:t>
      </w:r>
      <w:r>
        <w:rPr>
          <w:rFonts w:hint="eastAsia" w:ascii="黑体" w:hAnsi="黑体" w:eastAsia="黑体" w:cs="黑体"/>
          <w:color w:val="000000"/>
          <w:sz w:val="44"/>
          <w:szCs w:val="44"/>
          <w:shd w:val="clear" w:color="auto" w:fill="FFFFFF"/>
          <w:lang w:val="en-US" w:eastAsia="zh-CN"/>
        </w:rPr>
        <w:t>31</w:t>
      </w:r>
      <w:r>
        <w:rPr>
          <w:rFonts w:ascii="黑体" w:hAnsi="黑体" w:eastAsia="黑体" w:cs="黑体"/>
          <w:color w:val="000000"/>
          <w:sz w:val="44"/>
          <w:szCs w:val="44"/>
          <w:shd w:val="clear" w:color="auto" w:fill="FFFFFF"/>
        </w:rPr>
        <w:t>日起)</w:t>
      </w:r>
    </w:p>
    <w:p>
      <w:pPr>
        <w:pStyle w:val="7"/>
        <w:widowControl/>
        <w:shd w:val="clear" w:color="auto" w:fill="FFFFFF"/>
        <w:spacing w:before="150" w:beforeAutospacing="0" w:after="150" w:afterAutospacing="0" w:line="390" w:lineRule="atLeast"/>
        <w:rPr>
          <w:rFonts w:ascii="Verdana" w:hAnsi="Verdana" w:cs="Verdana"/>
          <w:color w:val="535353"/>
          <w:sz w:val="21"/>
          <w:szCs w:val="21"/>
          <w:shd w:val="clear" w:color="auto" w:fill="FFFFFF"/>
        </w:rPr>
      </w:pPr>
    </w:p>
    <w:p>
      <w:pPr>
        <w:pStyle w:val="7"/>
        <w:widowControl/>
        <w:shd w:val="clear" w:color="auto" w:fill="FFFFFF"/>
        <w:spacing w:before="150" w:beforeAutospacing="0" w:after="150" w:afterAutospacing="0" w:line="390" w:lineRule="atLeast"/>
        <w:ind w:firstLine="600" w:firstLineChars="200"/>
        <w:rPr>
          <w:rFonts w:ascii="仿宋" w:hAnsi="仿宋" w:eastAsia="仿宋" w:cs="仿宋"/>
          <w:sz w:val="30"/>
          <w:szCs w:val="30"/>
        </w:rPr>
      </w:pPr>
      <w:r>
        <w:rPr>
          <w:rFonts w:hint="eastAsia" w:ascii="仿宋" w:hAnsi="仿宋" w:eastAsia="仿宋" w:cs="仿宋"/>
          <w:sz w:val="30"/>
          <w:szCs w:val="30"/>
          <w:shd w:val="clear" w:color="auto" w:fill="FFFFFF"/>
        </w:rPr>
        <w:t>尊敬的投资者：</w:t>
      </w:r>
    </w:p>
    <w:p>
      <w:pPr>
        <w:pStyle w:val="7"/>
        <w:widowControl/>
        <w:shd w:val="clear" w:color="auto" w:fill="FFFFFF"/>
        <w:spacing w:before="150" w:beforeAutospacing="0" w:after="150" w:afterAutospacing="0" w:line="390" w:lineRule="atLeast"/>
        <w:ind w:firstLine="600" w:firstLineChars="200"/>
        <w:jc w:val="both"/>
        <w:rPr>
          <w:rFonts w:ascii="仿宋" w:hAnsi="仿宋" w:eastAsia="仿宋" w:cs="仿宋"/>
          <w:sz w:val="30"/>
          <w:szCs w:val="30"/>
        </w:rPr>
      </w:pPr>
      <w:r>
        <w:rPr>
          <w:rFonts w:hint="eastAsia" w:ascii="仿宋" w:hAnsi="仿宋" w:eastAsia="仿宋" w:cs="仿宋"/>
          <w:sz w:val="30"/>
          <w:szCs w:val="30"/>
          <w:shd w:val="clear" w:color="auto" w:fill="FFFFFF"/>
        </w:rPr>
        <w:t>为提供更好的理财产品投资体验，中银理财有限责任公司（以下简称“我公司”）拟于2023年</w:t>
      </w:r>
      <w:r>
        <w:rPr>
          <w:rFonts w:hint="eastAsia" w:ascii="仿宋" w:hAnsi="仿宋" w:eastAsia="仿宋" w:cs="仿宋"/>
          <w:sz w:val="30"/>
          <w:szCs w:val="30"/>
          <w:shd w:val="clear" w:color="auto" w:fill="FFFFFF"/>
          <w:lang w:val="en-US" w:eastAsia="zh-CN"/>
        </w:rPr>
        <w:t>7</w:t>
      </w:r>
      <w:r>
        <w:rPr>
          <w:rFonts w:hint="eastAsia" w:ascii="仿宋" w:hAnsi="仿宋" w:eastAsia="仿宋" w:cs="仿宋"/>
          <w:sz w:val="30"/>
          <w:szCs w:val="30"/>
          <w:shd w:val="clear" w:color="auto" w:fill="FFFFFF"/>
        </w:rPr>
        <w:t>月</w:t>
      </w:r>
      <w:r>
        <w:rPr>
          <w:rFonts w:hint="eastAsia" w:ascii="仿宋" w:hAnsi="仿宋" w:eastAsia="仿宋" w:cs="仿宋"/>
          <w:sz w:val="30"/>
          <w:szCs w:val="30"/>
          <w:shd w:val="clear" w:color="auto" w:fill="FFFFFF"/>
          <w:lang w:val="en-US" w:eastAsia="zh-CN"/>
        </w:rPr>
        <w:t>31</w:t>
      </w:r>
      <w:r>
        <w:rPr>
          <w:rFonts w:hint="eastAsia" w:ascii="仿宋" w:hAnsi="仿宋" w:eastAsia="仿宋" w:cs="仿宋"/>
          <w:sz w:val="30"/>
          <w:szCs w:val="30"/>
          <w:shd w:val="clear" w:color="auto" w:fill="FFFFFF"/>
        </w:rPr>
        <w:t>日起调整部分现金管理类理财产品的业绩</w:t>
      </w:r>
      <w:r>
        <w:rPr>
          <w:rFonts w:hint="eastAsia" w:ascii="仿宋" w:hAnsi="仿宋" w:eastAsia="仿宋" w:cs="仿宋"/>
          <w:sz w:val="30"/>
          <w:szCs w:val="30"/>
          <w:shd w:val="clear" w:color="auto" w:fill="FFFFFF"/>
          <w:lang w:eastAsia="zh-Hans"/>
        </w:rPr>
        <w:t>比较</w:t>
      </w:r>
      <w:r>
        <w:rPr>
          <w:rFonts w:hint="eastAsia" w:ascii="仿宋" w:hAnsi="仿宋" w:eastAsia="仿宋" w:cs="仿宋"/>
          <w:sz w:val="30"/>
          <w:szCs w:val="30"/>
          <w:shd w:val="clear" w:color="auto" w:fill="FFFFFF"/>
        </w:rPr>
        <w:t>基准，并同步修订《产品说明书》中相关条款。本次调整</w:t>
      </w:r>
      <w:r>
        <w:rPr>
          <w:rFonts w:hint="eastAsia" w:ascii="仿宋" w:hAnsi="仿宋" w:eastAsia="仿宋" w:cs="仿宋"/>
          <w:sz w:val="30"/>
          <w:szCs w:val="30"/>
          <w:shd w:val="clear" w:color="auto" w:fill="FFFFFF"/>
          <w:lang w:val="en-US" w:eastAsia="zh-CN"/>
        </w:rPr>
        <w:t>主要</w:t>
      </w:r>
      <w:r>
        <w:rPr>
          <w:rFonts w:hint="eastAsia" w:ascii="仿宋" w:hAnsi="仿宋" w:eastAsia="仿宋" w:cs="仿宋"/>
          <w:sz w:val="30"/>
          <w:szCs w:val="30"/>
          <w:shd w:val="clear" w:color="auto" w:fill="FFFFFF"/>
        </w:rPr>
        <w:t>涉及业绩</w:t>
      </w:r>
      <w:r>
        <w:rPr>
          <w:rFonts w:hint="eastAsia" w:ascii="仿宋" w:hAnsi="仿宋" w:eastAsia="仿宋" w:cs="仿宋"/>
          <w:sz w:val="30"/>
          <w:szCs w:val="30"/>
          <w:shd w:val="clear" w:color="auto" w:fill="FFFFFF"/>
          <w:lang w:eastAsia="zh-Hans"/>
        </w:rPr>
        <w:t>比较</w:t>
      </w:r>
      <w:r>
        <w:rPr>
          <w:rFonts w:hint="eastAsia" w:ascii="仿宋" w:hAnsi="仿宋" w:eastAsia="仿宋" w:cs="仿宋"/>
          <w:sz w:val="30"/>
          <w:szCs w:val="30"/>
          <w:shd w:val="clear" w:color="auto" w:fill="FFFFFF"/>
        </w:rPr>
        <w:t>基准，理财产品的投资范围、投资品种、投资比例等产品要素不变，修订后内容详见各产品的《产品说明书》。</w:t>
      </w:r>
    </w:p>
    <w:p>
      <w:pPr>
        <w:pStyle w:val="7"/>
        <w:widowControl/>
        <w:shd w:val="clear" w:color="auto" w:fill="FFFFFF"/>
        <w:spacing w:before="150" w:beforeAutospacing="0" w:after="150" w:afterAutospacing="0" w:line="390" w:lineRule="atLeast"/>
        <w:ind w:firstLine="600" w:firstLineChars="200"/>
        <w:jc w:val="both"/>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本次调整涉及的理财产品清单及业绩</w:t>
      </w:r>
      <w:r>
        <w:rPr>
          <w:rFonts w:hint="eastAsia" w:ascii="仿宋" w:hAnsi="仿宋" w:eastAsia="仿宋" w:cs="仿宋"/>
          <w:sz w:val="30"/>
          <w:szCs w:val="30"/>
          <w:shd w:val="clear" w:color="auto" w:fill="FFFFFF"/>
          <w:lang w:eastAsia="zh-Hans"/>
        </w:rPr>
        <w:t>比较</w:t>
      </w:r>
      <w:r>
        <w:rPr>
          <w:rFonts w:hint="eastAsia" w:ascii="仿宋" w:hAnsi="仿宋" w:eastAsia="仿宋" w:cs="仿宋"/>
          <w:sz w:val="30"/>
          <w:szCs w:val="30"/>
          <w:shd w:val="clear" w:color="auto" w:fill="FFFFFF"/>
        </w:rPr>
        <w:t>基准条款详见附件。</w:t>
      </w:r>
    </w:p>
    <w:p>
      <w:pPr>
        <w:pStyle w:val="7"/>
        <w:widowControl/>
        <w:shd w:val="clear" w:color="auto" w:fill="FFFFFF"/>
        <w:spacing w:before="150" w:beforeAutospacing="0" w:after="150" w:afterAutospacing="0" w:line="390" w:lineRule="atLeast"/>
        <w:ind w:firstLine="600" w:firstLineChars="200"/>
        <w:jc w:val="both"/>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对于在《产品说明书》更新前购买和/或持有我公司理财产品的投资者，如您不接受更新内容，在《产品说明书》更新后，请您：1.不再购买该等理财产品；2.将所持该等理财产品全部份额分别于各只理财产品最近一个开放期全部赎回。若投资者在《产品说明书》更新后继续持有该等理财产品则视同认可本次调整并同意适用修订后的《产品说明书》。</w:t>
      </w:r>
    </w:p>
    <w:p>
      <w:pPr>
        <w:pStyle w:val="7"/>
        <w:widowControl/>
        <w:shd w:val="clear" w:color="auto" w:fill="FFFFFF"/>
        <w:spacing w:before="150" w:beforeAutospacing="0" w:after="150" w:afterAutospacing="0" w:line="390" w:lineRule="atLeast"/>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我公司将本着“受人之托、代人理财”的服务宗旨，继续切实履行产品管理人职责。</w:t>
      </w:r>
    </w:p>
    <w:p>
      <w:pPr>
        <w:pStyle w:val="7"/>
        <w:widowControl/>
        <w:shd w:val="clear" w:color="auto" w:fill="FFFFFF"/>
        <w:spacing w:before="150" w:beforeAutospacing="0" w:after="150" w:afterAutospacing="0" w:line="390" w:lineRule="atLeast"/>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感谢您一直以来对中银理财产品的厚爱，我公司将继续为您提供更优质的理财服务！</w:t>
      </w:r>
    </w:p>
    <w:p>
      <w:pPr>
        <w:pStyle w:val="7"/>
        <w:widowControl/>
        <w:shd w:val="clear" w:color="auto" w:fill="FFFFFF"/>
        <w:spacing w:before="150" w:beforeAutospacing="0" w:after="150" w:afterAutospacing="0" w:line="390" w:lineRule="atLeast"/>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特此公告</w:t>
      </w:r>
    </w:p>
    <w:p>
      <w:pPr>
        <w:pStyle w:val="7"/>
        <w:widowControl/>
        <w:shd w:val="clear" w:color="auto" w:fill="FFFFFF"/>
        <w:spacing w:before="150" w:beforeAutospacing="0" w:after="150" w:afterAutospacing="0" w:line="390" w:lineRule="atLeast"/>
        <w:ind w:firstLine="420"/>
        <w:jc w:val="right"/>
        <w:rPr>
          <w:rFonts w:ascii="仿宋" w:hAnsi="仿宋" w:eastAsia="仿宋" w:cs="仿宋"/>
          <w:sz w:val="30"/>
          <w:szCs w:val="30"/>
        </w:rPr>
      </w:pPr>
      <w:r>
        <w:rPr>
          <w:rFonts w:hint="eastAsia" w:ascii="仿宋" w:hAnsi="仿宋" w:eastAsia="仿宋" w:cs="仿宋"/>
          <w:sz w:val="30"/>
          <w:szCs w:val="30"/>
          <w:shd w:val="clear" w:color="auto" w:fill="FFFFFF"/>
        </w:rPr>
        <w:t>中银理财有限责任公司</w:t>
      </w:r>
      <w:r>
        <w:rPr>
          <w:rFonts w:hint="eastAsia" w:ascii="仿宋" w:hAnsi="仿宋" w:eastAsia="仿宋" w:cs="仿宋"/>
          <w:sz w:val="30"/>
          <w:szCs w:val="30"/>
          <w:shd w:val="clear" w:color="auto" w:fill="FFFFFF"/>
        </w:rPr>
        <w:br w:type="textWrapping"/>
      </w:r>
      <w:r>
        <w:rPr>
          <w:rFonts w:hint="eastAsia" w:ascii="仿宋" w:hAnsi="仿宋" w:eastAsia="仿宋" w:cs="仿宋"/>
          <w:sz w:val="30"/>
          <w:szCs w:val="30"/>
          <w:shd w:val="clear" w:color="auto" w:fill="FFFFFF"/>
        </w:rPr>
        <w:t>2023年</w:t>
      </w:r>
      <w:r>
        <w:rPr>
          <w:rFonts w:hint="eastAsia" w:ascii="仿宋" w:hAnsi="仿宋" w:eastAsia="仿宋" w:cs="仿宋"/>
          <w:sz w:val="30"/>
          <w:szCs w:val="30"/>
          <w:shd w:val="clear" w:color="auto" w:fill="FFFFFF"/>
          <w:lang w:val="en-US" w:eastAsia="zh-CN"/>
        </w:rPr>
        <w:t>7</w:t>
      </w:r>
      <w:r>
        <w:rPr>
          <w:rFonts w:hint="eastAsia" w:ascii="仿宋" w:hAnsi="仿宋" w:eastAsia="仿宋" w:cs="仿宋"/>
          <w:sz w:val="30"/>
          <w:szCs w:val="30"/>
          <w:shd w:val="clear" w:color="auto" w:fill="FFFFFF"/>
        </w:rPr>
        <w:t>月</w:t>
      </w:r>
      <w:r>
        <w:rPr>
          <w:rFonts w:hint="eastAsia" w:ascii="仿宋" w:hAnsi="仿宋" w:eastAsia="仿宋" w:cs="仿宋"/>
          <w:sz w:val="30"/>
          <w:szCs w:val="30"/>
          <w:shd w:val="clear" w:color="auto" w:fill="FFFFFF"/>
          <w:lang w:val="en-US" w:eastAsia="zh-CN"/>
        </w:rPr>
        <w:t>26</w:t>
      </w:r>
      <w:r>
        <w:rPr>
          <w:rFonts w:hint="eastAsia" w:ascii="仿宋" w:hAnsi="仿宋" w:eastAsia="仿宋" w:cs="仿宋"/>
          <w:sz w:val="30"/>
          <w:szCs w:val="30"/>
          <w:shd w:val="clear" w:color="auto" w:fill="FFFFFF"/>
        </w:rPr>
        <w:t>日</w:t>
      </w:r>
    </w:p>
    <w:p>
      <w:r>
        <w:rPr>
          <w:rFonts w:hint="eastAsia"/>
        </w:rPr>
        <w:br w:type="page"/>
      </w:r>
      <w:bookmarkStart w:id="0" w:name="_GoBack"/>
      <w:bookmarkEnd w:id="0"/>
    </w:p>
    <w:p>
      <w:pP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附件：</w:t>
      </w:r>
      <w:r>
        <w:rPr>
          <w:rFonts w:hint="eastAsia" w:ascii="仿宋" w:hAnsi="仿宋" w:eastAsia="仿宋" w:cs="仿宋"/>
          <w:sz w:val="30"/>
          <w:szCs w:val="30"/>
          <w:shd w:val="clear" w:color="auto" w:fill="FFFFFF"/>
        </w:rPr>
        <w:t>本次调整涉及的理财产品清单及业绩</w:t>
      </w:r>
      <w:r>
        <w:rPr>
          <w:rFonts w:hint="eastAsia" w:ascii="仿宋" w:hAnsi="仿宋" w:eastAsia="仿宋" w:cs="仿宋"/>
          <w:sz w:val="30"/>
          <w:szCs w:val="30"/>
          <w:shd w:val="clear" w:color="auto" w:fill="FFFFFF"/>
          <w:lang w:eastAsia="zh-Hans"/>
        </w:rPr>
        <w:t>比较</w:t>
      </w:r>
      <w:r>
        <w:rPr>
          <w:rFonts w:hint="eastAsia" w:ascii="仿宋" w:hAnsi="仿宋" w:eastAsia="仿宋" w:cs="仿宋"/>
          <w:sz w:val="30"/>
          <w:szCs w:val="30"/>
          <w:shd w:val="clear" w:color="auto" w:fill="FFFFFF"/>
        </w:rPr>
        <w:t>基准条款</w:t>
      </w:r>
    </w:p>
    <w:tbl>
      <w:tblPr>
        <w:tblStyle w:val="9"/>
        <w:tblW w:w="5948" w:type="pct"/>
        <w:jc w:val="center"/>
        <w:shd w:val="clear" w:color="auto" w:fill="FFFFFF" w:themeFill="background1"/>
        <w:tblLayout w:type="fixed"/>
        <w:tblCellMar>
          <w:top w:w="0" w:type="dxa"/>
          <w:left w:w="108" w:type="dxa"/>
          <w:bottom w:w="0" w:type="dxa"/>
          <w:right w:w="108" w:type="dxa"/>
        </w:tblCellMar>
      </w:tblPr>
      <w:tblGrid>
        <w:gridCol w:w="505"/>
        <w:gridCol w:w="1121"/>
        <w:gridCol w:w="1887"/>
        <w:gridCol w:w="2669"/>
        <w:gridCol w:w="2715"/>
        <w:gridCol w:w="1242"/>
      </w:tblGrid>
      <w:tr>
        <w:tblPrEx>
          <w:shd w:val="clear" w:color="auto" w:fill="FFFFFF" w:themeFill="background1"/>
          <w:tblCellMar>
            <w:top w:w="0" w:type="dxa"/>
            <w:left w:w="108" w:type="dxa"/>
            <w:bottom w:w="0" w:type="dxa"/>
            <w:right w:w="108" w:type="dxa"/>
          </w:tblCellMar>
        </w:tblPrEx>
        <w:trPr>
          <w:trHeight w:val="375"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序号</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产品代码</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产品名称</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调整前业绩</w:t>
            </w:r>
            <w:r>
              <w:rPr>
                <w:rFonts w:hint="eastAsia" w:ascii="仿宋" w:hAnsi="仿宋" w:eastAsia="仿宋" w:cs="仿宋"/>
                <w:color w:val="000000"/>
                <w:kern w:val="0"/>
                <w:sz w:val="22"/>
                <w:szCs w:val="22"/>
                <w:lang w:eastAsia="zh-Hans" w:bidi="ar"/>
              </w:rPr>
              <w:t>比较</w:t>
            </w:r>
            <w:r>
              <w:rPr>
                <w:rFonts w:hint="eastAsia" w:ascii="仿宋" w:hAnsi="仿宋" w:eastAsia="仿宋" w:cs="仿宋"/>
                <w:color w:val="000000"/>
                <w:kern w:val="0"/>
                <w:sz w:val="22"/>
                <w:szCs w:val="22"/>
                <w:lang w:bidi="ar"/>
              </w:rPr>
              <w:t>基准</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调整后业绩</w:t>
            </w:r>
            <w:r>
              <w:rPr>
                <w:rFonts w:hint="eastAsia" w:ascii="仿宋" w:hAnsi="仿宋" w:eastAsia="仿宋" w:cs="仿宋"/>
                <w:color w:val="000000"/>
                <w:kern w:val="0"/>
                <w:sz w:val="22"/>
                <w:szCs w:val="22"/>
                <w:lang w:eastAsia="zh-Hans" w:bidi="ar"/>
              </w:rPr>
              <w:t>比较</w:t>
            </w:r>
            <w:r>
              <w:rPr>
                <w:rFonts w:hint="eastAsia" w:ascii="仿宋" w:hAnsi="仿宋" w:eastAsia="仿宋" w:cs="仿宋"/>
                <w:color w:val="000000"/>
                <w:kern w:val="0"/>
                <w:sz w:val="22"/>
                <w:szCs w:val="22"/>
                <w:lang w:bidi="ar"/>
              </w:rPr>
              <w:t>基准</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调整日期</w:t>
            </w:r>
          </w:p>
        </w:tc>
      </w:tr>
      <w:tr>
        <w:tblPrEx>
          <w:shd w:val="clear" w:color="auto" w:fill="FFFFFF" w:themeFill="background1"/>
          <w:tblCellMar>
            <w:top w:w="0" w:type="dxa"/>
            <w:left w:w="108" w:type="dxa"/>
            <w:bottom w:w="0" w:type="dxa"/>
            <w:right w:w="108" w:type="dxa"/>
          </w:tblCellMar>
        </w:tblPrEx>
        <w:trPr>
          <w:trHeight w:val="75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HXTT01</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中银理财-惠享天天</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一年期银行定期储蓄存款的税后利率（整存整取）</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同期中国人民银行公布的七天通知存款利率（税后）</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bidi="ar"/>
              </w:rPr>
              <w:t>202</w:t>
            </w: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31</w:t>
            </w:r>
          </w:p>
        </w:tc>
      </w:tr>
      <w:tr>
        <w:tblPrEx>
          <w:shd w:val="clear" w:color="auto" w:fill="FFFFFF" w:themeFill="background1"/>
          <w:tblCellMar>
            <w:top w:w="0" w:type="dxa"/>
            <w:left w:w="108" w:type="dxa"/>
            <w:bottom w:w="0" w:type="dxa"/>
            <w:right w:w="108" w:type="dxa"/>
          </w:tblCellMar>
        </w:tblPrEx>
        <w:trPr>
          <w:trHeight w:val="75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HXTTJJ01</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中银理财-惠享天天进阶版</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一年期银行定期储蓄存款的税后利率（整存整取）</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同期中国人民银行公布的七天通知存款利率（税后）</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202</w:t>
            </w: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31</w:t>
            </w:r>
          </w:p>
        </w:tc>
      </w:tr>
      <w:tr>
        <w:tblPrEx>
          <w:shd w:val="clear" w:color="auto" w:fill="FFFFFF" w:themeFill="background1"/>
          <w:tblCellMar>
            <w:top w:w="0" w:type="dxa"/>
            <w:left w:w="108" w:type="dxa"/>
            <w:bottom w:w="0" w:type="dxa"/>
            <w:right w:w="108" w:type="dxa"/>
          </w:tblCellMar>
        </w:tblPrEx>
        <w:trPr>
          <w:trHeight w:val="75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HXTTZY01</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中银理财-惠享天天增益版</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一年期银行定期储蓄存款的税后利率（整存整取）</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同期中国人民银行公布的七天通知存款利率（税后）</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202</w:t>
            </w: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31</w:t>
            </w:r>
          </w:p>
        </w:tc>
      </w:tr>
      <w:tr>
        <w:tblPrEx>
          <w:shd w:val="clear" w:color="auto" w:fill="FFFFFF" w:themeFill="background1"/>
          <w:tblCellMar>
            <w:top w:w="0" w:type="dxa"/>
            <w:left w:w="108" w:type="dxa"/>
            <w:bottom w:w="0" w:type="dxa"/>
            <w:right w:w="108" w:type="dxa"/>
          </w:tblCellMar>
        </w:tblPrEx>
        <w:trPr>
          <w:trHeight w:val="75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AMHQLXTTZS01</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（机构专属）中银理财-乐享天天</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一年期银行定期储蓄存款的税后利率（整存整取）</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同期中国人民银行公布的七天通知存款利率（税后）</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202</w:t>
            </w: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31</w:t>
            </w:r>
          </w:p>
        </w:tc>
      </w:tr>
      <w:tr>
        <w:tblPrEx>
          <w:shd w:val="clear" w:color="auto" w:fill="FFFFFF" w:themeFill="background1"/>
          <w:tblCellMar>
            <w:top w:w="0" w:type="dxa"/>
            <w:left w:w="108" w:type="dxa"/>
            <w:bottom w:w="0" w:type="dxa"/>
            <w:right w:w="108" w:type="dxa"/>
          </w:tblCellMar>
        </w:tblPrEx>
        <w:trPr>
          <w:trHeight w:val="75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AMHQLXTT01</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中银理财-乐享天天</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一年期银行定期储蓄存款的税后利率（整存整取）</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同期中国人民银行公布的七天通知存款利率（税后）</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202</w:t>
            </w: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31</w:t>
            </w:r>
          </w:p>
        </w:tc>
      </w:tr>
      <w:tr>
        <w:tblPrEx>
          <w:shd w:val="clear" w:color="auto" w:fill="FFFFFF" w:themeFill="background1"/>
          <w:tblCellMar>
            <w:top w:w="0" w:type="dxa"/>
            <w:left w:w="108" w:type="dxa"/>
            <w:bottom w:w="0" w:type="dxa"/>
            <w:right w:w="108" w:type="dxa"/>
          </w:tblCellMar>
        </w:tblPrEx>
        <w:trPr>
          <w:trHeight w:val="75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AMHQLXQT01</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中银理财-乐享天天进阶版</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一年期银行定期储蓄存款的税后利率（整存整取）</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同期中国人民银行公布的七天通知存款利率（税后）</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202</w:t>
            </w: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31</w:t>
            </w:r>
          </w:p>
        </w:tc>
      </w:tr>
      <w:tr>
        <w:tblPrEx>
          <w:shd w:val="clear" w:color="auto" w:fill="FFFFFF" w:themeFill="background1"/>
          <w:tblCellMar>
            <w:top w:w="0" w:type="dxa"/>
            <w:left w:w="108" w:type="dxa"/>
            <w:bottom w:w="0" w:type="dxa"/>
            <w:right w:w="108" w:type="dxa"/>
          </w:tblCellMar>
        </w:tblPrEx>
        <w:trPr>
          <w:trHeight w:val="75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AMRJYL01</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中银理财-日积月累日计划</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一年期银行定期储蓄存款的税后利率（整存整取）</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同期中国人民银行公布的七天通知存款利率（税后）</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202</w:t>
            </w: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31</w:t>
            </w:r>
          </w:p>
        </w:tc>
      </w:tr>
      <w:tr>
        <w:tblPrEx>
          <w:shd w:val="clear" w:color="auto" w:fill="FFFFFF" w:themeFill="background1"/>
          <w:tblCellMar>
            <w:top w:w="0" w:type="dxa"/>
            <w:left w:w="108" w:type="dxa"/>
            <w:bottom w:w="0" w:type="dxa"/>
            <w:right w:w="108" w:type="dxa"/>
          </w:tblCellMar>
        </w:tblPrEx>
        <w:trPr>
          <w:trHeight w:val="75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8</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ZUNXTT01</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中银理财-尊享天天</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一年期银行定期储蓄存款的税后利率（整存整取）</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同期中国人民银行公布的七天通知存款利率（税后）</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202</w:t>
            </w: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31</w:t>
            </w:r>
          </w:p>
        </w:tc>
      </w:tr>
      <w:tr>
        <w:tblPrEx>
          <w:shd w:val="clear" w:color="auto" w:fill="FFFFFF" w:themeFill="background1"/>
          <w:tblCellMar>
            <w:top w:w="0" w:type="dxa"/>
            <w:left w:w="108" w:type="dxa"/>
            <w:bottom w:w="0" w:type="dxa"/>
            <w:right w:w="108" w:type="dxa"/>
          </w:tblCellMar>
        </w:tblPrEx>
        <w:trPr>
          <w:trHeight w:val="75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9</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LXTTZEYI01</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中银理财-乐享天天增益版</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中国人民银行7天通知存款利率</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同期中国人民银行公布的七天通知存款利率（税后）</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202</w:t>
            </w: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31</w:t>
            </w:r>
          </w:p>
        </w:tc>
      </w:tr>
      <w:tr>
        <w:tblPrEx>
          <w:tblCellMar>
            <w:top w:w="0" w:type="dxa"/>
            <w:left w:w="108" w:type="dxa"/>
            <w:bottom w:w="0" w:type="dxa"/>
            <w:right w:w="108" w:type="dxa"/>
          </w:tblCellMar>
        </w:tblPrEx>
        <w:trPr>
          <w:trHeight w:val="750"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LXTTZY01</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中银理财-乐享天天卓越版</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中国人民银行7天通知存款利率</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同期中国人民银行公布的七天通知存款利率（税后）</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202</w:t>
            </w: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31</w:t>
            </w:r>
          </w:p>
        </w:tc>
      </w:tr>
      <w:tr>
        <w:tblPrEx>
          <w:tblCellMar>
            <w:top w:w="0" w:type="dxa"/>
            <w:left w:w="108" w:type="dxa"/>
            <w:bottom w:w="0" w:type="dxa"/>
            <w:right w:w="108" w:type="dxa"/>
          </w:tblCellMar>
        </w:tblPrEx>
        <w:trPr>
          <w:trHeight w:val="375"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YIXTT01</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中银理财-怡享天天1号</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中国人民银行7天通知存款利率</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同期中国人民银行公布的七天通知存款利率（税后）</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202</w:t>
            </w: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31</w:t>
            </w:r>
          </w:p>
        </w:tc>
      </w:tr>
      <w:tr>
        <w:tblPrEx>
          <w:shd w:val="clear" w:color="auto" w:fill="FFFFFF" w:themeFill="background1"/>
          <w:tblCellMar>
            <w:top w:w="0" w:type="dxa"/>
            <w:left w:w="108" w:type="dxa"/>
            <w:bottom w:w="0" w:type="dxa"/>
            <w:right w:w="108" w:type="dxa"/>
          </w:tblCellMar>
        </w:tblPrEx>
        <w:trPr>
          <w:trHeight w:val="375"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YIXTT02</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中银理财-怡享天天2号</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中国人民银行7天通知存款利率</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同期中国人民银行公布的七天通知存款利率（税后）</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202</w:t>
            </w: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31</w:t>
            </w:r>
          </w:p>
        </w:tc>
      </w:tr>
      <w:tr>
        <w:tblPrEx>
          <w:tblCellMar>
            <w:top w:w="0" w:type="dxa"/>
            <w:left w:w="108" w:type="dxa"/>
            <w:bottom w:w="0" w:type="dxa"/>
            <w:right w:w="108" w:type="dxa"/>
          </w:tblCellMar>
        </w:tblPrEx>
        <w:trPr>
          <w:trHeight w:val="375" w:hRule="atLeast"/>
          <w:jc w:val="center"/>
        </w:trPr>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5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YIXTT03</w:t>
            </w:r>
          </w:p>
        </w:tc>
        <w:tc>
          <w:tcPr>
            <w:tcW w:w="9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中银理财-怡享天天3号</w:t>
            </w:r>
          </w:p>
        </w:tc>
        <w:tc>
          <w:tcPr>
            <w:tcW w:w="131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中国人民银行7天通知存款利率</w:t>
            </w:r>
          </w:p>
        </w:tc>
        <w:tc>
          <w:tcPr>
            <w:tcW w:w="133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同期中国人民银行公布的七天通知存款利率（税后）</w:t>
            </w:r>
          </w:p>
        </w:tc>
        <w:tc>
          <w:tcPr>
            <w:tcW w:w="6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202</w:t>
            </w: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w:t>
            </w:r>
            <w:r>
              <w:rPr>
                <w:rFonts w:hint="eastAsia" w:ascii="仿宋" w:hAnsi="仿宋" w:eastAsia="仿宋" w:cs="仿宋"/>
                <w:color w:val="000000"/>
                <w:kern w:val="0"/>
                <w:sz w:val="22"/>
                <w:szCs w:val="22"/>
                <w:lang w:val="en-US" w:eastAsia="zh-CN" w:bidi="ar"/>
              </w:rPr>
              <w:t>31</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EE62AA"/>
    <w:rsid w:val="00BC2A94"/>
    <w:rsid w:val="00CA6D2A"/>
    <w:rsid w:val="00D167AF"/>
    <w:rsid w:val="0797182A"/>
    <w:rsid w:val="132226F5"/>
    <w:rsid w:val="25842315"/>
    <w:rsid w:val="26496954"/>
    <w:rsid w:val="28C9433F"/>
    <w:rsid w:val="32731C82"/>
    <w:rsid w:val="54EE62AA"/>
    <w:rsid w:val="5CEE7401"/>
    <w:rsid w:val="5E445FD2"/>
    <w:rsid w:val="5F937967"/>
    <w:rsid w:val="FFF72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customStyle="1" w:styleId="14">
    <w:name w:val="页眉 Char"/>
    <w:basedOn w:val="11"/>
    <w:link w:val="6"/>
    <w:qFormat/>
    <w:uiPriority w:val="0"/>
    <w:rPr>
      <w:rFonts w:ascii="Calibri" w:hAnsi="Calibri"/>
      <w:kern w:val="2"/>
      <w:sz w:val="18"/>
      <w:szCs w:val="18"/>
    </w:rPr>
  </w:style>
  <w:style w:type="character" w:customStyle="1" w:styleId="15">
    <w:name w:val="页脚 Char"/>
    <w:basedOn w:val="11"/>
    <w:link w:val="5"/>
    <w:qFormat/>
    <w:uiPriority w:val="0"/>
    <w:rPr>
      <w:rFonts w:ascii="Calibri" w:hAnsi="Calibri"/>
      <w:kern w:val="2"/>
      <w:sz w:val="18"/>
      <w:szCs w:val="18"/>
    </w:rPr>
  </w:style>
  <w:style w:type="character" w:customStyle="1" w:styleId="16">
    <w:name w:val="批注文字 Char"/>
    <w:basedOn w:val="11"/>
    <w:link w:val="3"/>
    <w:qFormat/>
    <w:uiPriority w:val="0"/>
    <w:rPr>
      <w:rFonts w:ascii="Calibri" w:hAnsi="Calibri"/>
      <w:kern w:val="2"/>
      <w:sz w:val="21"/>
      <w:szCs w:val="24"/>
    </w:rPr>
  </w:style>
  <w:style w:type="character" w:customStyle="1" w:styleId="17">
    <w:name w:val="批注主题 Char"/>
    <w:basedOn w:val="16"/>
    <w:link w:val="8"/>
    <w:qFormat/>
    <w:uiPriority w:val="0"/>
    <w:rPr>
      <w:rFonts w:ascii="Calibri" w:hAnsi="Calibri"/>
      <w:b/>
      <w:bCs/>
      <w:kern w:val="2"/>
      <w:sz w:val="21"/>
      <w:szCs w:val="24"/>
    </w:rPr>
  </w:style>
  <w:style w:type="character" w:customStyle="1" w:styleId="18">
    <w:name w:val="批注框文本 Char"/>
    <w:basedOn w:val="11"/>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BOC</Company>
  <Pages>3</Pages>
  <Words>217</Words>
  <Characters>1241</Characters>
  <Lines>10</Lines>
  <Paragraphs>2</Paragraphs>
  <TotalTime>2</TotalTime>
  <ScaleCrop>false</ScaleCrop>
  <LinksUpToDate>false</LinksUpToDate>
  <CharactersWithSpaces>1456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2023-06-27T08:23:00Z</dcterms:created>
  <dc:creator>2047159</dc:creator>
  <cp:lastModifiedBy>2047159</cp:lastModifiedBy>
  <dcterms:modified xsi:type="dcterms:W3CDTF">2023-07-17T08:24:30Z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1231ACE26E8A41DEA5E42E7BF6E537B0</vt:lpwstr>
  </property>
</Properties>
</file>